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000"/>
        <w:jc w:val="center"/>
      </w:pPr>
      <w:r>
        <w:rPr>
          <w:b/>
          <w:color w:val="12524A"/>
          <w:sz w:val="52"/>
        </w:rPr>
        <w:t>Minimum Viable AI Policy</w:t>
      </w:r>
    </w:p>
    <w:p>
      <w:pPr>
        <w:jc w:val="center"/>
      </w:pPr>
      <w:r>
        <w:rPr>
          <w:i/>
          <w:color w:val="444444"/>
          <w:sz w:val="24"/>
        </w:rPr>
        <w:t>A practical governance starting point for civil society organizations and media outlets</w:t>
      </w:r>
    </w:p>
    <w:p>
      <w:pPr>
        <w:spacing w:before="320"/>
        <w:jc w:val="center"/>
      </w:pPr>
      <w:r>
        <w:rPr>
          <w:sz w:val="21"/>
        </w:rPr>
        <w:t>Scope: organization-wide  ·  Review: at least annually  ·  Version 1.0 draft</w:t>
      </w:r>
    </w:p>
    <w:p>
      <w:pPr>
        <w:spacing w:before="320"/>
        <w:jc w:val="center"/>
      </w:pPr>
      <w:r>
        <w:rPr>
          <w:sz w:val="21"/>
        </w:rPr>
        <w:t>Regional edition — Ethiopian Civil Society Engagement Program, Phase II</w:t>
      </w:r>
    </w:p>
    <w:p>
      <w:pPr>
        <w:spacing w:before="320"/>
        <w:jc w:val="center"/>
      </w:pPr>
      <w:r>
        <w:rPr>
          <w:sz w:val="21"/>
        </w:rPr>
        <w:t>Region: ______________________     Date: ______________________</w:t>
      </w:r>
    </w:p>
    <w:p/>
    <w:tbl>
      <w:tblPr>
        <w:tblW w:type="auto" w:w="0"/>
        <w:jc w:val="lef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autofit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val="clear" w:color="auto" w:fill="F6F6F4"/>
          </w:tcPr>
          <w:p>
            <w:r/>
            <w:r>
              <w:rPr>
                <w:b/>
                <w:sz w:val="18"/>
              </w:rPr>
              <w:t>SAFETY NOTICE.</w:t>
            </w:r>
            <w:r>
              <w:rPr>
                <w:sz w:val="18"/>
              </w:rPr>
              <w:t xml:space="preserve"> Do not insert real case details, source identities, beneficiary records or other sensitive data while adapting this template in a public AI tool.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autofit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val="clear" w:color="auto" w:fill="F6F6F4"/>
          </w:tcPr>
          <w:p>
            <w:r/>
            <w:r>
              <w:rPr>
                <w:b/>
                <w:sz w:val="18"/>
              </w:rPr>
              <w:t>USE NOTE.</w:t>
            </w:r>
            <w:r>
              <w:rPr>
                <w:sz w:val="18"/>
              </w:rPr>
              <w:t xml:space="preserve"> This is a starting template, not legal advice. Adapt it to your organization, applicable Ethiopian law, donor and contractual duties, safeguarding rules, editorial standards and security procedures. </w:t>
            </w:r>
            <w:r>
              <w:rPr>
                <w:b/>
                <w:sz w:val="18"/>
              </w:rPr>
              <w:t>Obtain appropriate legal, technical and leadership review before adoption.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80" w:after="120"/>
        <w:pBdr>
          <w:bottom w:val="single" w:sz="12" w:space="4" w:color="12524A"/>
        </w:pBdr>
        <w:keepNext w:val="true"/>
      </w:pPr>
      <w:r>
        <w:rPr>
          <w:b/>
          <w:color w:val="12524A"/>
          <w:sz w:val="32"/>
        </w:rPr>
        <w:t>How to use this template</w:t>
      </w:r>
    </w:p>
    <w:p>
      <w:r>
        <w:t xml:space="preserve">Complete the bracketed fields, remove the guidance text, test the rules against real workflows </w:t>
      </w:r>
      <w:r>
        <w:rPr>
          <w:i/>
        </w:rPr>
        <w:t>without entering real sensitive data into AI systems</w:t>
      </w:r>
      <w:r>
        <w:t xml:space="preserve">, and secure formal approval. </w:t>
      </w:r>
      <w:r>
        <w:rPr>
          <w:b/>
        </w:rPr>
        <w:t>Begin with a narrow policy that staff can actually follow</w:t>
      </w:r>
      <w:r>
        <w:t xml:space="preserve"> and revise it as tools and risks change.</w:t>
      </w:r>
    </w:p>
    <w:tbl>
      <w:tblPr>
        <w:tblW w:w="9639" w:type="dxa"/>
        <w:jc w:val="lef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</w:tcPr>
          <w:p>
            <w:pPr>
              <w:spacing w:after="40"/>
            </w:pPr>
            <w:r/>
            <w:r>
              <w:rPr>
                <w:sz w:val="19"/>
              </w:rPr>
              <w:t>☐  Name a policy owner</w:t>
            </w:r>
          </w:p>
        </w:tc>
        <w:tc>
          <w:tcPr>
            <w:tcW w:type="dxa" w:w="4819"/>
          </w:tcPr>
          <w:p>
            <w:pPr>
              <w:spacing w:after="40"/>
            </w:pPr>
            <w:r/>
            <w:r>
              <w:rPr>
                <w:sz w:val="19"/>
              </w:rPr>
              <w:t>☐  Approve a small tool list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/>
            <w:r>
              <w:rPr>
                <w:sz w:val="19"/>
              </w:rPr>
              <w:t>☐  Inventory what staff are already doing</w:t>
            </w:r>
          </w:p>
        </w:tc>
        <w:tc>
          <w:tcPr>
            <w:tcW w:type="dxa" w:w="4819"/>
          </w:tcPr>
          <w:p>
            <w:pPr>
              <w:spacing w:after="40"/>
            </w:pPr>
            <w:r/>
            <w:r>
              <w:rPr>
                <w:sz w:val="19"/>
              </w:rPr>
              <w:t>☐  Define human review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/>
            <w:r>
              <w:rPr>
                <w:sz w:val="19"/>
              </w:rPr>
              <w:t>☐  Classify data before tool use</w:t>
            </w:r>
          </w:p>
        </w:tc>
        <w:tc>
          <w:tcPr>
            <w:tcW w:type="dxa" w:w="4819"/>
          </w:tcPr>
          <w:p>
            <w:pPr>
              <w:spacing w:after="40"/>
            </w:pPr>
            <w:r/>
            <w:r>
              <w:rPr>
                <w:sz w:val="19"/>
              </w:rPr>
              <w:t>☐  Create an incident route</w:t>
            </w:r>
          </w:p>
        </w:tc>
      </w:tr>
    </w:tbl>
    <w:p>
      <w:pPr>
        <w:spacing w:after="40"/>
      </w:pPr>
    </w:p>
    <w:p>
      <w:pPr>
        <w:spacing w:before="260" w:after="60"/>
        <w:keepNext w:val="true"/>
      </w:pPr>
      <w:r>
        <w:rPr>
          <w:b/>
          <w:color w:val="12524A"/>
          <w:sz w:val="24"/>
        </w:rPr>
        <w:t>If you came to the workshop</w:t>
      </w:r>
    </w:p>
    <w:p>
      <w:r>
        <w:t xml:space="preserve">You already filled in the one-page </w:t>
      </w:r>
      <w:r>
        <w:rPr>
          <w:b/>
        </w:rPr>
        <w:t>Our rules for using these tools</w:t>
      </w:r>
      <w:r>
        <w:t xml:space="preserve"> sheet in the last session. </w:t>
      </w:r>
      <w:r>
        <w:rPr>
          <w:b/>
        </w:rPr>
        <w:t>That page is not a smaller version of this one — it is the decisions, and this is where they get written down properly.</w:t>
      </w:r>
      <w:r>
        <w:t xml:space="preserve"> Every box you filled in becomes a section here. Start by copying them across, then work outwards.</w:t>
      </w:r>
    </w:p>
    <w:tbl>
      <w:tblPr>
        <w:tblW w:w="9639" w:type="dxa"/>
        <w:jc w:val="lef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rPr>
          <w:tblHeader w:val="true"/>
        </w:trPr>
        <w:tc>
          <w:tcPr>
            <w:tcW w:type="dxa" w:w="4252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On the one-page sheet</w:t>
            </w:r>
          </w:p>
        </w:tc>
        <w:tc>
          <w:tcPr>
            <w:tcW w:type="dxa" w:w="5386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Becomes</w:t>
            </w:r>
          </w:p>
        </w:tc>
      </w:tr>
      <w:tr>
        <w:tc>
          <w:tcPr>
            <w:tcW w:type="dxa" w:w="4252"/>
          </w:tcPr>
          <w:p>
            <w:pPr>
              <w:spacing w:after="40"/>
            </w:pPr>
            <w:r/>
            <w:r>
              <w:rPr>
                <w:sz w:val="19"/>
              </w:rPr>
              <w:t>1 · Who keeps these rules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sz w:val="19"/>
              </w:rPr>
              <w:t xml:space="preserve">Document control, and </w:t>
            </w:r>
            <w:r>
              <w:rPr>
                <w:b/>
                <w:sz w:val="19"/>
              </w:rPr>
              <w:t>policy owner</w:t>
            </w:r>
            <w:r>
              <w:rPr>
                <w:sz w:val="19"/>
              </w:rPr>
              <w:t xml:space="preserve"> in section 8.2</w:t>
            </w:r>
          </w:p>
        </w:tc>
      </w:tr>
      <w:tr>
        <w:tc>
          <w:tcPr>
            <w:tcW w:type="dxa" w:w="4252"/>
          </w:tcPr>
          <w:p>
            <w:pPr>
              <w:spacing w:after="40"/>
            </w:pPr>
            <w:r/>
            <w:r>
              <w:rPr>
                <w:sz w:val="19"/>
              </w:rPr>
              <w:t>2 · Who says yes to the amber cases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Approver</w:t>
            </w:r>
            <w:r>
              <w:rPr>
                <w:sz w:val="19"/>
              </w:rPr>
              <w:t xml:space="preserve"> in section 8.2, and the Amber rule in section 4</w:t>
            </w:r>
          </w:p>
        </w:tc>
      </w:tr>
      <w:tr>
        <w:tc>
          <w:tcPr>
            <w:tcW w:type="dxa" w:w="4252"/>
          </w:tcPr>
          <w:p>
            <w:pPr>
              <w:spacing w:after="40"/>
            </w:pPr>
            <w:r/>
            <w:r>
              <w:rPr>
                <w:sz w:val="19"/>
              </w:rPr>
              <w:t>3 · Two things anyone may do without asking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sz w:val="19"/>
              </w:rPr>
              <w:t>Section 5.1 — allowed uses</w:t>
            </w:r>
          </w:p>
        </w:tc>
      </w:tr>
      <w:tr>
        <w:tc>
          <w:tcPr>
            <w:tcW w:type="dxa" w:w="4252"/>
          </w:tcPr>
          <w:p>
            <w:pPr>
              <w:spacing w:after="40"/>
            </w:pPr>
            <w:r/>
            <w:r>
              <w:rPr>
                <w:sz w:val="19"/>
              </w:rPr>
              <w:t>4 · Two things that need a yes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sz w:val="19"/>
              </w:rPr>
              <w:t>Section 5.2 — uses requiring documented approval</w:t>
            </w:r>
          </w:p>
        </w:tc>
      </w:tr>
      <w:tr>
        <w:tc>
          <w:tcPr>
            <w:tcW w:type="dxa" w:w="4252"/>
          </w:tcPr>
          <w:p>
            <w:pPr>
              <w:spacing w:after="40"/>
            </w:pPr>
            <w:r/>
            <w:r>
              <w:rPr>
                <w:sz w:val="19"/>
              </w:rPr>
              <w:t>5 · Two things nobody may do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sz w:val="19"/>
              </w:rPr>
              <w:t>Section 5.3 — prohibited uses</w:t>
            </w:r>
          </w:p>
        </w:tc>
      </w:tr>
      <w:tr>
        <w:tc>
          <w:tcPr>
            <w:tcW w:type="dxa" w:w="4252"/>
          </w:tcPr>
          <w:p>
            <w:pPr>
              <w:spacing w:after="40"/>
            </w:pPr>
            <w:r/>
            <w:r>
              <w:rPr>
                <w:sz w:val="19"/>
              </w:rPr>
              <w:t>6 · Our one-sentence rule about what never goes in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sz w:val="19"/>
              </w:rPr>
              <w:t xml:space="preserve">The </w:t>
            </w:r>
            <w:r>
              <w:rPr>
                <w:b/>
                <w:sz w:val="19"/>
              </w:rPr>
              <w:t>RED</w:t>
            </w:r>
            <w:r>
              <w:rPr>
                <w:sz w:val="19"/>
              </w:rPr>
              <w:t xml:space="preserve"> row of section 4</w:t>
            </w:r>
          </w:p>
        </w:tc>
      </w:tr>
      <w:tr>
        <w:tc>
          <w:tcPr>
            <w:tcW w:type="dxa" w:w="4252"/>
          </w:tcPr>
          <w:p>
            <w:pPr>
              <w:spacing w:after="40"/>
            </w:pPr>
            <w:r/>
            <w:r>
              <w:rPr>
                <w:sz w:val="19"/>
              </w:rPr>
              <w:t>7 · Who to tell when something goes wrong, and how fast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sz w:val="19"/>
              </w:rPr>
              <w:t>Section 14 — incident response, step 3</w:t>
            </w:r>
          </w:p>
        </w:tc>
      </w:tr>
      <w:tr>
        <w:tc>
          <w:tcPr>
            <w:tcW w:type="dxa" w:w="4252"/>
          </w:tcPr>
          <w:p>
            <w:pPr>
              <w:spacing w:after="40"/>
            </w:pPr>
            <w:r/>
            <w:r>
              <w:rPr>
                <w:sz w:val="19"/>
              </w:rPr>
              <w:t>8 · Tools we have agreed to use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sz w:val="19"/>
              </w:rPr>
              <w:t>Section 6 — the approved tool register</w:t>
            </w:r>
          </w:p>
        </w:tc>
      </w:tr>
      <w:tr>
        <w:tc>
          <w:tcPr>
            <w:tcW w:type="dxa" w:w="4252"/>
          </w:tcPr>
          <w:p>
            <w:pPr>
              <w:spacing w:after="40"/>
            </w:pPr>
            <w:r/>
            <w:r>
              <w:rPr>
                <w:sz w:val="19"/>
              </w:rPr>
              <w:t>9 · When we will look at this again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sz w:val="19"/>
              </w:rPr>
              <w:t>Document control, and section 16</w:t>
            </w:r>
          </w:p>
        </w:tc>
      </w:tr>
      <w:tr>
        <w:tc>
          <w:tcPr>
            <w:tcW w:type="dxa" w:w="4252"/>
          </w:tcPr>
          <w:p>
            <w:pPr>
              <w:spacing w:after="40"/>
            </w:pPr>
            <w:r/>
            <w:r>
              <w:rPr>
                <w:sz w:val="19"/>
              </w:rPr>
              <w:t>10 · When we tell our audience AI helped</w:t>
            </w:r>
          </w:p>
        </w:tc>
        <w:tc>
          <w:tcPr>
            <w:tcW w:type="dxa" w:w="5386"/>
          </w:tcPr>
          <w:p>
            <w:pPr>
              <w:spacing w:after="40"/>
            </w:pPr>
            <w:r/>
            <w:r>
              <w:rPr>
                <w:sz w:val="19"/>
              </w:rPr>
              <w:t>Section 12 — disclosing AI assistance</w:t>
            </w:r>
          </w:p>
        </w:tc>
      </w:tr>
    </w:tbl>
    <w:p>
      <w:pPr>
        <w:spacing w:after="40"/>
      </w:pPr>
    </w:p>
    <w:p>
      <w:pPr>
        <w:spacing w:before="160" w:after="160"/>
        <w:ind w:left="227"/>
        <w:pBdr>
          <w:left w:val="single" w:sz="18" w:space="4" w:color="12524A"/>
        </w:pBdr>
      </w:pPr>
      <w:r>
        <w:rPr>
          <w:b/>
        </w:rPr>
        <w:t xml:space="preserve">Nine of those ten boxes are decisions about </w:t>
      </w:r>
      <w:r>
        <w:rPr>
          <w:b/>
        </w:rPr>
        <w:t>people and permissions</w:t>
      </w:r>
      <w:r>
        <w:rPr>
          <w:b/>
        </w:rPr>
        <w:t>, not about technology. That is why the one-page sheet is the hard part and this document is the easy part.</w:t>
      </w:r>
    </w:p>
    <w:p>
      <w:r>
        <w:br w:type="page"/>
      </w:r>
    </w:p>
    <w:p>
      <w:pPr>
        <w:spacing w:before="80" w:after="120"/>
        <w:pBdr>
          <w:bottom w:val="single" w:sz="12" w:space="4" w:color="12524A"/>
        </w:pBdr>
        <w:keepNext w:val="true"/>
      </w:pPr>
      <w:r>
        <w:rPr>
          <w:b/>
          <w:color w:val="12524A"/>
          <w:sz w:val="32"/>
        </w:rPr>
        <w:t>Document control</w:t>
      </w:r>
    </w:p>
    <w:tbl>
      <w:tblPr>
        <w:tblW w:w="9639" w:type="dxa"/>
        <w:jc w:val="lef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tblLayout w:type="fixed"/>
        <w:tblLook w:firstColumn="1" w:firstRow="1" w:lastColumn="0" w:lastRow="0" w:noHBand="0" w:noVBand="1" w:val="04A0"/>
      </w:tblPr>
      <w:tblGrid>
        <w:gridCol w:w="2835"/>
        <w:gridCol w:w="6804"/>
      </w:tblGrid>
      <w:tr>
        <w:trPr>
          <w:tblHeader w:val="true"/>
        </w:trPr>
        <w:tc>
          <w:tcPr>
            <w:tcW w:type="dxa" w:w="2835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Field</w:t>
            </w:r>
          </w:p>
        </w:tc>
        <w:tc>
          <w:tcPr>
            <w:tcW w:type="dxa" w:w="6803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Organization entry</w:t>
            </w:r>
          </w:p>
        </w:tc>
      </w:tr>
      <w:tr>
        <w:tc>
          <w:tcPr>
            <w:tcW w:type="dxa" w:w="2835"/>
          </w:tcPr>
          <w:p>
            <w:pPr>
              <w:spacing w:after="40"/>
            </w:pPr>
            <w:r/>
            <w:r>
              <w:rPr>
                <w:sz w:val="19"/>
              </w:rPr>
              <w:t>Organization</w:t>
            </w:r>
          </w:p>
        </w:tc>
        <w:tc>
          <w:tcPr>
            <w:tcW w:type="dxa" w:w="6803"/>
          </w:tcPr>
          <w:p>
            <w:pPr>
              <w:spacing w:after="40"/>
            </w:pPr>
            <w:r/>
            <w:r>
              <w:rPr>
                <w:sz w:val="19"/>
              </w:rPr>
              <w:t>[Insert name]</w:t>
            </w:r>
          </w:p>
        </w:tc>
      </w:tr>
      <w:tr>
        <w:tc>
          <w:tcPr>
            <w:tcW w:type="dxa" w:w="2835"/>
          </w:tcPr>
          <w:p>
            <w:pPr>
              <w:spacing w:after="40"/>
            </w:pPr>
            <w:r/>
            <w:r>
              <w:rPr>
                <w:sz w:val="19"/>
              </w:rPr>
              <w:t>Type</w:t>
            </w:r>
          </w:p>
        </w:tc>
        <w:tc>
          <w:tcPr>
            <w:tcW w:type="dxa" w:w="6803"/>
          </w:tcPr>
          <w:p>
            <w:pPr>
              <w:spacing w:after="40"/>
            </w:pPr>
            <w:r/>
            <w:r>
              <w:rPr>
                <w:sz w:val="19"/>
              </w:rPr>
              <w:t>[Civil society organization / media outlet / both]</w:t>
            </w:r>
          </w:p>
        </w:tc>
      </w:tr>
      <w:tr>
        <w:tc>
          <w:tcPr>
            <w:tcW w:type="dxa" w:w="2835"/>
          </w:tcPr>
          <w:p>
            <w:pPr>
              <w:spacing w:after="40"/>
            </w:pPr>
            <w:r/>
            <w:r>
              <w:rPr>
                <w:sz w:val="19"/>
              </w:rPr>
              <w:t>Policy owner</w:t>
            </w:r>
          </w:p>
        </w:tc>
        <w:tc>
          <w:tcPr>
            <w:tcW w:type="dxa" w:w="6803"/>
          </w:tcPr>
          <w:p>
            <w:pPr>
              <w:spacing w:after="40"/>
            </w:pPr>
            <w:r/>
            <w:r>
              <w:rPr>
                <w:sz w:val="19"/>
              </w:rPr>
              <w:t>[Name]</w:t>
            </w:r>
          </w:p>
        </w:tc>
      </w:tr>
      <w:tr>
        <w:tc>
          <w:tcPr>
            <w:tcW w:type="dxa" w:w="2835"/>
          </w:tcPr>
          <w:p>
            <w:pPr>
              <w:spacing w:after="40"/>
            </w:pPr>
            <w:r/>
            <w:r>
              <w:rPr>
                <w:sz w:val="19"/>
              </w:rPr>
              <w:t>Approved by</w:t>
            </w:r>
          </w:p>
        </w:tc>
        <w:tc>
          <w:tcPr>
            <w:tcW w:type="dxa" w:w="6803"/>
          </w:tcPr>
          <w:p>
            <w:pPr>
              <w:spacing w:after="40"/>
            </w:pPr>
            <w:r/>
            <w:r>
              <w:rPr>
                <w:sz w:val="19"/>
              </w:rPr>
              <w:t>[Executive Director / editor / board / delegated authority]</w:t>
            </w:r>
          </w:p>
        </w:tc>
      </w:tr>
      <w:tr>
        <w:tc>
          <w:tcPr>
            <w:tcW w:type="dxa" w:w="2835"/>
          </w:tcPr>
          <w:p>
            <w:pPr>
              <w:spacing w:after="40"/>
            </w:pPr>
            <w:r/>
            <w:r>
              <w:rPr>
                <w:sz w:val="19"/>
              </w:rPr>
              <w:t>Effective date</w:t>
            </w:r>
          </w:p>
        </w:tc>
        <w:tc>
          <w:tcPr>
            <w:tcW w:type="dxa" w:w="6803"/>
          </w:tcPr>
          <w:p>
            <w:pPr>
              <w:spacing w:after="40"/>
            </w:pPr>
            <w:r/>
            <w:r>
              <w:rPr>
                <w:sz w:val="19"/>
              </w:rPr>
              <w:t>[DD Month YYYY]</w:t>
            </w:r>
          </w:p>
        </w:tc>
      </w:tr>
      <w:tr>
        <w:tc>
          <w:tcPr>
            <w:tcW w:type="dxa" w:w="2835"/>
          </w:tcPr>
          <w:p>
            <w:pPr>
              <w:spacing w:after="40"/>
            </w:pPr>
            <w:r/>
            <w:r>
              <w:rPr>
                <w:sz w:val="19"/>
              </w:rPr>
              <w:t>Review date</w:t>
            </w:r>
          </w:p>
        </w:tc>
        <w:tc>
          <w:tcPr>
            <w:tcW w:type="dxa" w:w="6803"/>
          </w:tcPr>
          <w:p>
            <w:pPr>
              <w:spacing w:after="40"/>
            </w:pPr>
            <w:r/>
            <w:r>
              <w:rPr>
                <w:sz w:val="19"/>
              </w:rPr>
              <w:t>[At least every 12 months, or earlier after a major change or incident]</w:t>
            </w:r>
          </w:p>
        </w:tc>
      </w:tr>
      <w:tr>
        <w:tc>
          <w:tcPr>
            <w:tcW w:type="dxa" w:w="2835"/>
          </w:tcPr>
          <w:p>
            <w:pPr>
              <w:spacing w:after="40"/>
            </w:pPr>
            <w:r/>
            <w:r>
              <w:rPr>
                <w:sz w:val="19"/>
              </w:rPr>
              <w:t>Version</w:t>
            </w:r>
          </w:p>
        </w:tc>
        <w:tc>
          <w:tcPr>
            <w:tcW w:type="dxa" w:w="6803"/>
          </w:tcPr>
          <w:p>
            <w:pPr>
              <w:spacing w:after="40"/>
            </w:pPr>
            <w:r/>
            <w:r>
              <w:rPr>
                <w:sz w:val="19"/>
              </w:rPr>
              <w:t>[1.0]</w:t>
            </w:r>
          </w:p>
        </w:tc>
      </w:tr>
      <w:tr>
        <w:tc>
          <w:tcPr>
            <w:tcW w:type="dxa" w:w="2835"/>
          </w:tcPr>
          <w:p>
            <w:pPr>
              <w:spacing w:after="40"/>
            </w:pPr>
            <w:r/>
            <w:r>
              <w:rPr>
                <w:sz w:val="19"/>
              </w:rPr>
              <w:t>Questions / incidents</w:t>
            </w:r>
          </w:p>
        </w:tc>
        <w:tc>
          <w:tcPr>
            <w:tcW w:type="dxa" w:w="6803"/>
          </w:tcPr>
          <w:p>
            <w:pPr>
              <w:spacing w:after="40"/>
            </w:pPr>
            <w:r/>
            <w:r>
              <w:rPr>
                <w:sz w:val="19"/>
              </w:rPr>
              <w:t>[Secure contact or reporting route]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80" w:after="120"/>
        <w:pBdr>
          <w:bottom w:val="single" w:sz="12" w:space="4" w:color="12524A"/>
        </w:pBdr>
        <w:keepNext w:val="true"/>
      </w:pPr>
      <w:r>
        <w:rPr>
          <w:b/>
          <w:color w:val="12524A"/>
          <w:sz w:val="32"/>
        </w:rPr>
        <w:t>1. Purpose and scope</w:t>
      </w:r>
    </w:p>
    <w:p>
      <w:r>
        <w:t xml:space="preserve">[Organization] uses generative artificial intelligence only where it supports our mission — </w:t>
      </w:r>
      <w:r>
        <w:rPr>
          <w:b/>
        </w:rPr>
        <w:t>programme delivery, advocacy, public information and reporting</w:t>
      </w:r>
      <w:r>
        <w:t xml:space="preserve"> — without creating unreasonable risk to people, sources, evidence, operations or trust. This policy establishes minimum rules for selecting, accessing, prompting, reviewing and publishing AI-assisted work.</w:t>
      </w:r>
    </w:p>
    <w:p>
      <w:r>
        <w:t>It applies to all staff, consultants, interns, volunteers, freelance contributors and partners using AI for organizational work, whether on organization-owned or personal devices, free or paid accounts, online services, embedded assistants or local and offline models.</w:t>
      </w:r>
    </w:p>
    <w:p>
      <w:r>
        <w:br w:type="page"/>
      </w:r>
    </w:p>
    <w:p>
      <w:pPr>
        <w:spacing w:before="80" w:after="120"/>
        <w:pBdr>
          <w:bottom w:val="single" w:sz="12" w:space="4" w:color="12524A"/>
        </w:pBdr>
        <w:keepNext w:val="true"/>
      </w:pPr>
      <w:r>
        <w:rPr>
          <w:b/>
          <w:color w:val="12524A"/>
          <w:sz w:val="32"/>
        </w:rPr>
        <w:t>2. Working definitions</w:t>
      </w:r>
    </w:p>
    <w:tbl>
      <w:tblPr>
        <w:tblW w:w="9639" w:type="dxa"/>
        <w:jc w:val="lef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tblLayout w:type="fixed"/>
        <w:tblLook w:firstColumn="1" w:firstRow="1" w:lastColumn="0" w:lastRow="0" w:noHBand="0" w:noVBand="1" w:val="04A0"/>
      </w:tblPr>
      <w:tblGrid>
        <w:gridCol w:w="2154"/>
        <w:gridCol w:w="7484"/>
      </w:tblGrid>
      <w:tr>
        <w:trPr>
          <w:tblHeader w:val="true"/>
        </w:trPr>
        <w:tc>
          <w:tcPr>
            <w:tcW w:type="dxa" w:w="2154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Term</w:t>
            </w:r>
          </w:p>
        </w:tc>
        <w:tc>
          <w:tcPr>
            <w:tcW w:type="dxa" w:w="7483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Working definition</w:t>
            </w:r>
          </w:p>
        </w:tc>
      </w:tr>
      <w:tr>
        <w:tc>
          <w:tcPr>
            <w:tcW w:type="dxa" w:w="2154"/>
          </w:tcPr>
          <w:p>
            <w:pPr>
              <w:spacing w:after="40"/>
            </w:pPr>
            <w:r/>
            <w:r>
              <w:rPr>
                <w:sz w:val="19"/>
              </w:rPr>
              <w:t>Generative AI</w:t>
            </w:r>
          </w:p>
        </w:tc>
        <w:tc>
          <w:tcPr>
            <w:tcW w:type="dxa" w:w="7483"/>
          </w:tcPr>
          <w:p>
            <w:pPr>
              <w:spacing w:after="40"/>
            </w:pPr>
            <w:r/>
            <w:r>
              <w:rPr>
                <w:sz w:val="19"/>
              </w:rPr>
              <w:t>A system that produces text, images, audio, video, code or other content in response to instructions or data.</w:t>
            </w:r>
          </w:p>
        </w:tc>
      </w:tr>
      <w:tr>
        <w:tc>
          <w:tcPr>
            <w:tcW w:type="dxa" w:w="2154"/>
          </w:tcPr>
          <w:p>
            <w:pPr>
              <w:spacing w:after="40"/>
            </w:pPr>
            <w:r/>
            <w:r>
              <w:rPr>
                <w:sz w:val="19"/>
              </w:rPr>
              <w:t>Prompt</w:t>
            </w:r>
          </w:p>
        </w:tc>
        <w:tc>
          <w:tcPr>
            <w:tcW w:type="dxa" w:w="7483"/>
          </w:tcPr>
          <w:p>
            <w:pPr>
              <w:spacing w:after="40"/>
            </w:pPr>
            <w:r/>
            <w:r>
              <w:rPr>
                <w:sz w:val="19"/>
              </w:rPr>
              <w:t>An instruction and any text, file, image, link or other context submitted to an AI system.</w:t>
            </w:r>
          </w:p>
        </w:tc>
      </w:tr>
      <w:tr>
        <w:tc>
          <w:tcPr>
            <w:tcW w:type="dxa" w:w="2154"/>
          </w:tcPr>
          <w:p>
            <w:pPr>
              <w:spacing w:after="40"/>
            </w:pPr>
            <w:r/>
            <w:r>
              <w:rPr>
                <w:sz w:val="19"/>
              </w:rPr>
              <w:t>Public data</w:t>
            </w:r>
          </w:p>
        </w:tc>
        <w:tc>
          <w:tcPr>
            <w:tcW w:type="dxa" w:w="7483"/>
          </w:tcPr>
          <w:p>
            <w:pPr>
              <w:spacing w:after="40"/>
            </w:pPr>
            <w:r/>
            <w:r>
              <w:rPr>
                <w:sz w:val="19"/>
              </w:rPr>
              <w:t>Information lawfully public and suitable for unrestricted disclosure.</w:t>
            </w:r>
          </w:p>
        </w:tc>
      </w:tr>
      <w:tr>
        <w:tc>
          <w:tcPr>
            <w:tcW w:type="dxa" w:w="2154"/>
          </w:tcPr>
          <w:p>
            <w:pPr>
              <w:spacing w:after="40"/>
            </w:pPr>
            <w:r/>
            <w:r>
              <w:rPr>
                <w:sz w:val="19"/>
              </w:rPr>
              <w:t>Internal data</w:t>
            </w:r>
          </w:p>
        </w:tc>
        <w:tc>
          <w:tcPr>
            <w:tcW w:type="dxa" w:w="7483"/>
          </w:tcPr>
          <w:p>
            <w:pPr>
              <w:spacing w:after="40"/>
            </w:pPr>
            <w:r/>
            <w:r>
              <w:rPr>
                <w:sz w:val="19"/>
              </w:rPr>
              <w:t>Non-public organizational information whose disclosure would cause limited harm.</w:t>
            </w:r>
          </w:p>
        </w:tc>
      </w:tr>
      <w:tr>
        <w:tc>
          <w:tcPr>
            <w:tcW w:type="dxa" w:w="2154"/>
          </w:tcPr>
          <w:p>
            <w:pPr>
              <w:spacing w:after="40"/>
            </w:pPr>
            <w:r/>
            <w:r>
              <w:rPr>
                <w:sz w:val="19"/>
              </w:rPr>
              <w:t>Sensitive data</w:t>
            </w:r>
          </w:p>
        </w:tc>
        <w:tc>
          <w:tcPr>
            <w:tcW w:type="dxa" w:w="7483"/>
          </w:tcPr>
          <w:p>
            <w:pPr>
              <w:spacing w:after="40"/>
            </w:pPr>
            <w:r/>
            <w:r>
              <w:rPr>
                <w:sz w:val="19"/>
              </w:rPr>
              <w:t>Information that could expose, identify, endanger, stigmatize or compromise a person, source, witness, survivor, beneficiary, defender, investigation or operation.</w:t>
            </w:r>
          </w:p>
        </w:tc>
      </w:tr>
      <w:tr>
        <w:tc>
          <w:tcPr>
            <w:tcW w:type="dxa" w:w="2154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Source protection</w:t>
            </w:r>
          </w:p>
        </w:tc>
        <w:tc>
          <w:tcPr>
            <w:tcW w:type="dxa" w:w="7483"/>
          </w:tcPr>
          <w:p>
            <w:pPr>
              <w:spacing w:after="40"/>
            </w:pPr>
            <w:r/>
            <w:r>
              <w:rPr>
                <w:sz w:val="19"/>
              </w:rPr>
              <w:t>The duty to protect the identity of a person who provided information on condition of confidentiality, and any detail from which that identity could be inferred.</w:t>
            </w:r>
          </w:p>
        </w:tc>
      </w:tr>
      <w:tr>
        <w:tc>
          <w:tcPr>
            <w:tcW w:type="dxa" w:w="2154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Off-record material</w:t>
            </w:r>
          </w:p>
        </w:tc>
        <w:tc>
          <w:tcPr>
            <w:tcW w:type="dxa" w:w="7483"/>
          </w:tcPr>
          <w:p>
            <w:pPr>
              <w:spacing w:after="40"/>
            </w:pPr>
            <w:r/>
            <w:r>
              <w:rPr>
                <w:sz w:val="19"/>
              </w:rPr>
              <w:t>Recordings, notes or statements provided on the understanding that they will not be published or attributed.</w:t>
            </w:r>
          </w:p>
        </w:tc>
      </w:tr>
      <w:tr>
        <w:tc>
          <w:tcPr>
            <w:tcW w:type="dxa" w:w="2154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Embargoed material</w:t>
            </w:r>
          </w:p>
        </w:tc>
        <w:tc>
          <w:tcPr>
            <w:tcW w:type="dxa" w:w="7483"/>
          </w:tcPr>
          <w:p>
            <w:pPr>
              <w:spacing w:after="40"/>
            </w:pPr>
            <w:r/>
            <w:r>
              <w:rPr>
                <w:sz w:val="19"/>
              </w:rPr>
              <w:t>Information held under an agreement not to publish before a stated time. Protected by commitment rather than by harm — but equally binding.</w:t>
            </w:r>
          </w:p>
        </w:tc>
      </w:tr>
      <w:tr>
        <w:tc>
          <w:tcPr>
            <w:tcW w:type="dxa" w:w="2154"/>
          </w:tcPr>
          <w:p>
            <w:pPr>
              <w:spacing w:after="40"/>
            </w:pPr>
            <w:r/>
            <w:r>
              <w:rPr>
                <w:sz w:val="19"/>
              </w:rPr>
              <w:t>High-impact use</w:t>
            </w:r>
          </w:p>
        </w:tc>
        <w:tc>
          <w:tcPr>
            <w:tcW w:type="dxa" w:w="7483"/>
          </w:tcPr>
          <w:p>
            <w:pPr>
              <w:spacing w:after="40"/>
            </w:pPr>
            <w:r/>
            <w:r>
              <w:rPr>
                <w:sz w:val="19"/>
              </w:rPr>
              <w:t>AI-supported work that could materially affect rights, safety, legal position, public reputation, access to services, editorial standards or an organizational decision.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80" w:after="120"/>
        <w:pBdr>
          <w:bottom w:val="single" w:sz="12" w:space="4" w:color="12524A"/>
        </w:pBdr>
        <w:keepNext w:val="true"/>
      </w:pPr>
      <w:r>
        <w:rPr>
          <w:b/>
          <w:color w:val="12524A"/>
          <w:sz w:val="32"/>
        </w:rPr>
        <w:t>3. Core principles</w:t>
      </w:r>
    </w:p>
    <w:tbl>
      <w:tblPr>
        <w:tblW w:w="9639" w:type="dxa"/>
        <w:jc w:val="lef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tblLayout w:type="fixed"/>
        <w:tblLook w:firstColumn="1" w:firstRow="1" w:lastColumn="0" w:lastRow="0" w:noHBand="0" w:noVBand="1" w:val="04A0"/>
      </w:tblPr>
      <w:tblGrid>
        <w:gridCol w:w="2608"/>
        <w:gridCol w:w="7030"/>
      </w:tblGrid>
      <w:tr>
        <w:trPr>
          <w:tblHeader w:val="true"/>
        </w:trPr>
        <w:tc>
          <w:tcPr>
            <w:tcW w:type="dxa" w:w="2608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Principle</w:t>
            </w:r>
          </w:p>
        </w:tc>
        <w:tc>
          <w:tcPr>
            <w:tcW w:type="dxa" w:w="7030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Minimum expectation</w:t>
            </w:r>
          </w:p>
        </w:tc>
      </w:tr>
      <w:tr>
        <w:tc>
          <w:tcPr>
            <w:tcW w:type="dxa" w:w="2608"/>
          </w:tcPr>
          <w:p>
            <w:pPr>
              <w:spacing w:after="40"/>
            </w:pPr>
            <w:r/>
            <w:r>
              <w:rPr>
                <w:sz w:val="19"/>
              </w:rPr>
              <w:t>Human dignity and rights</w:t>
            </w:r>
          </w:p>
        </w:tc>
        <w:tc>
          <w:tcPr>
            <w:tcW w:type="dxa" w:w="7030"/>
          </w:tcPr>
          <w:p>
            <w:pPr>
              <w:spacing w:after="40"/>
            </w:pPr>
            <w:r/>
            <w:r>
              <w:rPr>
                <w:sz w:val="19"/>
              </w:rPr>
              <w:t>Use AI in ways consistent with dignity, equality, agency and the mission.</w:t>
            </w:r>
          </w:p>
        </w:tc>
      </w:tr>
      <w:tr>
        <w:tc>
          <w:tcPr>
            <w:tcW w:type="dxa" w:w="2608"/>
          </w:tcPr>
          <w:p>
            <w:pPr>
              <w:spacing w:after="40"/>
            </w:pPr>
            <w:r/>
            <w:r>
              <w:rPr>
                <w:sz w:val="19"/>
              </w:rPr>
              <w:t>Necessity and proportionality</w:t>
            </w:r>
          </w:p>
        </w:tc>
        <w:tc>
          <w:tcPr>
            <w:tcW w:type="dxa" w:w="7030"/>
          </w:tcPr>
          <w:p>
            <w:pPr>
              <w:spacing w:after="40"/>
            </w:pPr>
            <w:r/>
            <w:r>
              <w:rPr>
                <w:sz w:val="19"/>
              </w:rPr>
              <w:t>Use AI only when the benefit justifies the data, security and accuracy risks.</w:t>
            </w:r>
          </w:p>
        </w:tc>
      </w:tr>
      <w:tr>
        <w:tc>
          <w:tcPr>
            <w:tcW w:type="dxa" w:w="2608"/>
          </w:tcPr>
          <w:p>
            <w:pPr>
              <w:spacing w:after="40"/>
            </w:pPr>
            <w:r/>
            <w:r>
              <w:rPr>
                <w:sz w:val="19"/>
              </w:rPr>
              <w:t>Data minimization</w:t>
            </w:r>
          </w:p>
        </w:tc>
        <w:tc>
          <w:tcPr>
            <w:tcW w:type="dxa" w:w="7030"/>
          </w:tcPr>
          <w:p>
            <w:pPr>
              <w:spacing w:after="40"/>
            </w:pPr>
            <w:r/>
            <w:r>
              <w:rPr>
                <w:sz w:val="19"/>
              </w:rPr>
              <w:t>Submit the least information necessary; prefer fictional, synthetic, public or de-identified content.</w:t>
            </w:r>
          </w:p>
        </w:tc>
      </w:tr>
      <w:tr>
        <w:tc>
          <w:tcPr>
            <w:tcW w:type="dxa" w:w="2608"/>
          </w:tcPr>
          <w:p>
            <w:pPr>
              <w:spacing w:after="40"/>
            </w:pPr>
            <w:r/>
            <w:r>
              <w:rPr>
                <w:sz w:val="19"/>
              </w:rPr>
              <w:t>Fairness and non-discrimination</w:t>
            </w:r>
          </w:p>
        </w:tc>
        <w:tc>
          <w:tcPr>
            <w:tcW w:type="dxa" w:w="7030"/>
          </w:tcPr>
          <w:p>
            <w:pPr>
              <w:spacing w:after="40"/>
            </w:pPr>
            <w:r/>
            <w:r>
              <w:rPr>
                <w:sz w:val="19"/>
              </w:rPr>
              <w:t>Check for stereotypes, exclusions and unequal impacts, especially across language, gender, disability, ethnicity and political identity.</w:t>
            </w:r>
          </w:p>
        </w:tc>
      </w:tr>
      <w:tr>
        <w:tc>
          <w:tcPr>
            <w:tcW w:type="dxa" w:w="2608"/>
          </w:tcPr>
          <w:p>
            <w:pPr>
              <w:spacing w:after="40"/>
            </w:pPr>
            <w:r/>
            <w:r>
              <w:rPr>
                <w:sz w:val="19"/>
              </w:rPr>
              <w:t>Transparency</w:t>
            </w:r>
          </w:p>
        </w:tc>
        <w:tc>
          <w:tcPr>
            <w:tcW w:type="dxa" w:w="7030"/>
          </w:tcPr>
          <w:p>
            <w:pPr>
              <w:spacing w:after="40"/>
            </w:pPr>
            <w:r/>
            <w:r>
              <w:rPr>
                <w:sz w:val="19"/>
              </w:rPr>
              <w:t>Record and disclose material AI assistance when omission could mislead an audience or a decision-maker.</w:t>
            </w:r>
          </w:p>
        </w:tc>
      </w:tr>
      <w:tr>
        <w:tc>
          <w:tcPr>
            <w:tcW w:type="dxa" w:w="2608"/>
          </w:tcPr>
          <w:p>
            <w:pPr>
              <w:spacing w:after="40"/>
            </w:pPr>
            <w:r/>
            <w:r>
              <w:rPr>
                <w:sz w:val="19"/>
              </w:rPr>
              <w:t>Human accountability</w:t>
            </w:r>
          </w:p>
        </w:tc>
        <w:tc>
          <w:tcPr>
            <w:tcW w:type="dxa" w:w="7030"/>
          </w:tcPr>
          <w:p>
            <w:pPr>
              <w:spacing w:after="40"/>
            </w:pPr>
            <w:r/>
            <w:r>
              <w:rPr>
                <w:sz w:val="19"/>
              </w:rPr>
              <w:t xml:space="preserve">A </w:t>
            </w:r>
            <w:r>
              <w:rPr>
                <w:b/>
                <w:sz w:val="19"/>
              </w:rPr>
              <w:t>named person</w:t>
            </w:r>
            <w:r>
              <w:rPr>
                <w:sz w:val="19"/>
              </w:rPr>
              <w:t xml:space="preserve"> remains responsible for checking and approving every consequential output.</w:t>
            </w:r>
          </w:p>
        </w:tc>
      </w:tr>
      <w:tr>
        <w:tc>
          <w:tcPr>
            <w:tcW w:type="dxa" w:w="2608"/>
          </w:tcPr>
          <w:p>
            <w:pPr>
              <w:spacing w:after="40"/>
            </w:pPr>
            <w:r/>
            <w:r>
              <w:rPr>
                <w:sz w:val="19"/>
              </w:rPr>
              <w:t>Security and resilience</w:t>
            </w:r>
          </w:p>
        </w:tc>
        <w:tc>
          <w:tcPr>
            <w:tcW w:type="dxa" w:w="7030"/>
          </w:tcPr>
          <w:p>
            <w:pPr>
              <w:spacing w:after="40"/>
            </w:pPr>
            <w:r/>
            <w:r>
              <w:rPr>
                <w:sz w:val="19"/>
              </w:rPr>
              <w:t>Use approved tools, access controls, retention settings, incident procedures and offline alternatives.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80" w:after="120"/>
        <w:pBdr>
          <w:bottom w:val="single" w:sz="12" w:space="4" w:color="12524A"/>
        </w:pBdr>
        <w:keepNext w:val="true"/>
      </w:pPr>
      <w:r>
        <w:rPr>
          <w:b/>
          <w:color w:val="12524A"/>
          <w:sz w:val="32"/>
        </w:rPr>
        <w:t>4. Traffic-light rules for AI use</w:t>
      </w:r>
    </w:p>
    <w:p>
      <w:r>
        <w:t xml:space="preserve">Classify the task and the data </w:t>
      </w:r>
      <w:r>
        <w:rPr>
          <w:b/>
        </w:rPr>
        <w:t>before</w:t>
      </w:r>
      <w:r>
        <w:t xml:space="preserve"> opening an AI tool. The strictest applicable category controls the decision.</w:t>
      </w:r>
    </w:p>
    <w:tbl>
      <w:tblPr>
        <w:tblW w:w="9639" w:type="dxa"/>
        <w:jc w:val="lef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tblLayout w:type="fixed"/>
        <w:tblLook w:firstColumn="1" w:firstRow="1" w:lastColumn="0" w:lastRow="0" w:noHBand="0" w:noVBand="1" w:val="04A0"/>
      </w:tblPr>
      <w:tblGrid>
        <w:gridCol w:w="1927"/>
        <w:gridCol w:w="5443"/>
        <w:gridCol w:w="2268"/>
      </w:tblGrid>
      <w:tr>
        <w:trPr>
          <w:tblHeader w:val="true"/>
        </w:trPr>
        <w:tc>
          <w:tcPr>
            <w:tcW w:type="dxa" w:w="1928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Category</w:t>
            </w:r>
          </w:p>
        </w:tc>
        <w:tc>
          <w:tcPr>
            <w:tcW w:type="dxa" w:w="5443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Typical examples</w:t>
            </w:r>
          </w:p>
        </w:tc>
        <w:tc>
          <w:tcPr>
            <w:tcW w:type="dxa" w:w="2268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Rule</w:t>
            </w:r>
          </w:p>
        </w:tc>
      </w:tr>
      <w:tr>
        <w:tc>
          <w:tcPr>
            <w:tcW w:type="dxa" w:w="1928"/>
          </w:tcPr>
          <w:p>
            <w:pPr>
              <w:spacing w:after="40"/>
            </w:pPr>
            <w:r/>
            <w:r>
              <w:rPr>
                <w:sz w:val="19"/>
              </w:rPr>
              <w:t>GREEN — Allowed</w:t>
            </w:r>
          </w:p>
        </w:tc>
        <w:tc>
          <w:tcPr>
            <w:tcW w:type="dxa" w:w="5443"/>
          </w:tcPr>
          <w:p>
            <w:pPr>
              <w:spacing w:after="40"/>
            </w:pPr>
            <w:r/>
            <w:r>
              <w:rPr>
                <w:sz w:val="19"/>
              </w:rPr>
              <w:t>Brainstorming with fictional facts; formatting public material; generic templates; drafting from an already-published release; translating already-public text with review.</w:t>
            </w:r>
          </w:p>
        </w:tc>
        <w:tc>
          <w:tcPr>
            <w:tcW w:type="dxa" w:w="2268"/>
          </w:tcPr>
          <w:p>
            <w:pPr>
              <w:spacing w:after="40"/>
            </w:pPr>
            <w:r/>
            <w:r>
              <w:rPr>
                <w:sz w:val="19"/>
              </w:rPr>
              <w:t>May use an approved tool. Verify output before use.</w:t>
            </w:r>
          </w:p>
        </w:tc>
      </w:tr>
      <w:tr>
        <w:tc>
          <w:tcPr>
            <w:tcW w:type="dxa" w:w="1928"/>
          </w:tcPr>
          <w:p>
            <w:pPr>
              <w:spacing w:after="40"/>
            </w:pPr>
            <w:r/>
            <w:r>
              <w:rPr>
                <w:sz w:val="19"/>
              </w:rPr>
              <w:t>AMBER — Approval required</w:t>
            </w:r>
          </w:p>
        </w:tc>
        <w:tc>
          <w:tcPr>
            <w:tcW w:type="dxa" w:w="5443"/>
          </w:tcPr>
          <w:p>
            <w:pPr>
              <w:spacing w:after="40"/>
            </w:pPr>
            <w:r/>
            <w:r>
              <w:rPr>
                <w:sz w:val="19"/>
              </w:rPr>
              <w:t>Internal drafts; unpublished advocacy or editorial plans; low-risk internal notes; high-impact public content; embargoed material; use of a new tool.</w:t>
            </w:r>
          </w:p>
        </w:tc>
        <w:tc>
          <w:tcPr>
            <w:tcW w:type="dxa" w:w="2268"/>
          </w:tcPr>
          <w:p>
            <w:pPr>
              <w:spacing w:after="40"/>
            </w:pPr>
            <w:r/>
            <w:r>
              <w:rPr>
                <w:sz w:val="19"/>
              </w:rPr>
              <w:t>Obtain the designated approval, minimize data, document the purpose and apply enhanced review.</w:t>
            </w:r>
          </w:p>
        </w:tc>
      </w:tr>
      <w:tr>
        <w:tc>
          <w:tcPr>
            <w:tcW w:type="dxa" w:w="1928"/>
          </w:tcPr>
          <w:p>
            <w:pPr>
              <w:spacing w:after="40"/>
            </w:pPr>
            <w:r/>
            <w:r>
              <w:rPr>
                <w:sz w:val="19"/>
              </w:rPr>
              <w:t>RED — Prohibited</w:t>
            </w:r>
          </w:p>
        </w:tc>
        <w:tc>
          <w:tcPr>
            <w:tcW w:type="dxa" w:w="5443"/>
          </w:tcPr>
          <w:p>
            <w:pPr>
              <w:spacing w:after="40"/>
            </w:pPr>
            <w:r/>
            <w:r>
              <w:rPr>
                <w:sz w:val="19"/>
              </w:rPr>
              <w:t xml:space="preserve">Testimony; survivor details; </w:t>
            </w:r>
            <w:r>
              <w:rPr>
                <w:b/>
                <w:sz w:val="19"/>
              </w:rPr>
              <w:t>unpublished source identities</w:t>
            </w:r>
            <w:r>
              <w:rPr>
                <w:sz w:val="19"/>
              </w:rPr>
              <w:t xml:space="preserve">; </w:t>
            </w:r>
            <w:r>
              <w:rPr>
                <w:b/>
                <w:sz w:val="19"/>
              </w:rPr>
              <w:t>off-record recordings</w:t>
            </w:r>
            <w:r>
              <w:rPr>
                <w:sz w:val="19"/>
              </w:rPr>
              <w:t xml:space="preserve">; case files; </w:t>
            </w:r>
            <w:r>
              <w:rPr>
                <w:b/>
                <w:sz w:val="19"/>
              </w:rPr>
              <w:t>beneficiary and participant lists</w:t>
            </w:r>
            <w:r>
              <w:rPr>
                <w:sz w:val="19"/>
              </w:rPr>
              <w:t xml:space="preserve">; </w:t>
            </w:r>
            <w:r>
              <w:rPr>
                <w:b/>
                <w:sz w:val="19"/>
              </w:rPr>
              <w:t>monitoring data containing names</w:t>
            </w:r>
            <w:r>
              <w:rPr>
                <w:sz w:val="19"/>
              </w:rPr>
              <w:t>; donor budget negotiations; authentication secrets; precise locations; staff movement plans; confidential legal or editorial strategy; biometric or medical data.</w:t>
            </w:r>
          </w:p>
        </w:tc>
        <w:tc>
          <w:tcPr>
            <w:tcW w:type="dxa" w:w="2268"/>
          </w:tcPr>
          <w:p>
            <w:pPr>
              <w:spacing w:after="40"/>
            </w:pPr>
            <w:r/>
            <w:r>
              <w:rPr>
                <w:sz w:val="19"/>
              </w:rPr>
              <w:t>Do not submit to public or unapproved AI tools. Use a safer non-AI or specifically authorized controlled workflow.</w:t>
            </w:r>
          </w:p>
        </w:tc>
      </w:tr>
    </w:tbl>
    <w:p>
      <w:pPr>
        <w:spacing w:after="40"/>
      </w:pPr>
    </w:p>
    <w:p>
      <w:pPr>
        <w:spacing w:before="160" w:after="160"/>
        <w:ind w:left="227"/>
        <w:pBdr>
          <w:left w:val="single" w:sz="18" w:space="4" w:color="12524A"/>
        </w:pBdr>
      </w:pPr>
      <w:r>
        <w:rPr>
          <w:b/>
        </w:rPr>
        <w:t>When uncertain, treat the information as more sensitive, stop, and ask the policy owner or security focal point before proceeding.</w:t>
      </w:r>
    </w:p>
    <w:p>
      <w:r>
        <w:br w:type="page"/>
      </w:r>
    </w:p>
    <w:p>
      <w:pPr>
        <w:spacing w:before="80" w:after="120"/>
        <w:pBdr>
          <w:bottom w:val="single" w:sz="12" w:space="4" w:color="12524A"/>
        </w:pBdr>
        <w:keepNext w:val="true"/>
      </w:pPr>
      <w:r>
        <w:rPr>
          <w:b/>
          <w:color w:val="12524A"/>
          <w:sz w:val="32"/>
        </w:rPr>
        <w:t>5. Approved, approval-required and prohibited uses</w:t>
      </w:r>
    </w:p>
    <w:p>
      <w:pPr>
        <w:spacing w:before="260" w:after="60"/>
        <w:keepNext w:val="true"/>
      </w:pPr>
      <w:r>
        <w:rPr>
          <w:b/>
          <w:color w:val="12524A"/>
          <w:sz w:val="24"/>
        </w:rPr>
        <w:t>5.1 Allowed uses</w:t>
      </w:r>
    </w:p>
    <w:tbl>
      <w:tblPr>
        <w:tblW w:w="9639" w:type="dxa"/>
        <w:jc w:val="lef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tblLayout w:type="fixed"/>
        <w:tblLook w:firstColumn="1" w:firstRow="1" w:lastColumn="0" w:lastRow="0" w:noHBand="0" w:noVBand="1" w:val="04A0"/>
      </w:tblPr>
      <w:tblGrid>
        <w:gridCol w:w="9639"/>
      </w:tblGrid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Brainstorming headings, questions or campaign concepts using invented context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Summarizing public documents with source-by-source verification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Editing tone, clarity or structure of non-sensitive text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Drafting templates, checklists or training examples with fictional data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Drafting from an already-published release, brief or statement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Translating public or deliberately de-identified text with qualified human review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Generating formulas or code in a non-production environment with review</w:t>
            </w:r>
          </w:p>
        </w:tc>
      </w:tr>
    </w:tbl>
    <w:p>
      <w:pPr>
        <w:spacing w:after="40"/>
      </w:pPr>
    </w:p>
    <w:p>
      <w:pPr>
        <w:spacing w:before="260" w:after="60"/>
        <w:keepNext w:val="true"/>
      </w:pPr>
      <w:r>
        <w:rPr>
          <w:b/>
          <w:color w:val="12524A"/>
          <w:sz w:val="24"/>
        </w:rPr>
        <w:t>5.2 Uses requiring documented approval</w:t>
      </w:r>
    </w:p>
    <w:tbl>
      <w:tblPr>
        <w:tblW w:w="9639" w:type="dxa"/>
        <w:jc w:val="lef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tblLayout w:type="fixed"/>
        <w:tblLook w:firstColumn="1" w:firstRow="1" w:lastColumn="0" w:lastRow="0" w:noHBand="0" w:noVBand="1" w:val="04A0"/>
      </w:tblPr>
      <w:tblGrid>
        <w:gridCol w:w="9639"/>
      </w:tblGrid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Any new AI tool, plug-in, connector or account type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Internal information not intended for public release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AI-assisted public claims, legal analysis or high-impact advocacy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Automated or repeated processing at organizational scale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Local or offline model deployments that store organizational data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AI-generated images, audio or video intended for publication</w:t>
            </w:r>
          </w:p>
        </w:tc>
      </w:tr>
    </w:tbl>
    <w:p>
      <w:pPr>
        <w:spacing w:after="40"/>
      </w:pPr>
    </w:p>
    <w:p>
      <w:pPr>
        <w:spacing w:before="260" w:after="60"/>
        <w:keepNext w:val="true"/>
      </w:pPr>
      <w:r>
        <w:rPr>
          <w:b/>
          <w:color w:val="12524A"/>
          <w:sz w:val="24"/>
        </w:rPr>
        <w:t>5.3 Prohibited uses</w:t>
      </w:r>
    </w:p>
    <w:tbl>
      <w:tblPr>
        <w:tblW w:w="9639" w:type="dxa"/>
        <w:jc w:val="lef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tblLayout w:type="fixed"/>
        <w:tblLook w:firstColumn="1" w:firstRow="1" w:lastColumn="0" w:lastRow="0" w:noHBand="0" w:noVBand="1" w:val="04A0"/>
      </w:tblPr>
      <w:tblGrid>
        <w:gridCol w:w="9639"/>
      </w:tblGrid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Uploading red-category information to a public or unapproved system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Using AI as the sole basis for eligibility, disciplinary, employment or security decisions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Presenting fabricated, impersonated or synthetic evidence as authentic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Publishing factual or translated content without appropriate human verification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Circumventing access controls, consent requirements or lawful confidentiality duties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Using a personal AI account for organizational sensitive information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 xml:space="preserve">☐  </w:t>
            </w:r>
            <w:r>
              <w:rPr>
                <w:b/>
                <w:sz w:val="19"/>
              </w:rPr>
              <w:t>Acting on an instruction received by voice without a call-back on a number you already hold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80" w:after="120"/>
        <w:pBdr>
          <w:bottom w:val="single" w:sz="12" w:space="4" w:color="12524A"/>
        </w:pBdr>
        <w:keepNext w:val="true"/>
      </w:pPr>
      <w:r>
        <w:rPr>
          <w:b/>
          <w:color w:val="12524A"/>
          <w:sz w:val="32"/>
        </w:rPr>
        <w:t>6. Approved tool register</w:t>
      </w:r>
    </w:p>
    <w:p>
      <w:r>
        <w:t xml:space="preserve">The policy owner maintains this register. </w:t>
      </w:r>
      <w:r>
        <w:rPr>
          <w:b/>
        </w:rPr>
        <w:t>Approval is specific to the named plan, configuration and use case</w:t>
      </w:r>
      <w:r>
        <w:t>; it does not automatically cover plug-ins, connectors, file uploads or new model features.</w:t>
      </w:r>
    </w:p>
    <w:tbl>
      <w:tblPr>
        <w:tblW w:w="9639" w:type="dxa"/>
        <w:jc w:val="lef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tblLayout w:type="fixed"/>
        <w:tblLook w:firstColumn="1" w:firstRow="1" w:lastColumn="0" w:lastRow="0" w:noHBand="0" w:noVBand="1" w:val="04A0"/>
      </w:tblPr>
      <w:tblGrid>
        <w:gridCol w:w="1927"/>
        <w:gridCol w:w="1927"/>
        <w:gridCol w:w="1927"/>
        <w:gridCol w:w="1927"/>
        <w:gridCol w:w="1927"/>
      </w:tblGrid>
      <w:tr>
        <w:trPr>
          <w:tblHeader w:val="true"/>
        </w:trPr>
        <w:tc>
          <w:tcPr>
            <w:tcW w:type="dxa" w:w="1928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Tool / version</w:t>
            </w:r>
          </w:p>
        </w:tc>
        <w:tc>
          <w:tcPr>
            <w:tcW w:type="dxa" w:w="1928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Approved purpose</w:t>
            </w:r>
          </w:p>
        </w:tc>
        <w:tc>
          <w:tcPr>
            <w:tcW w:type="dxa" w:w="1928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Data category</w:t>
            </w:r>
          </w:p>
        </w:tc>
        <w:tc>
          <w:tcPr>
            <w:tcW w:type="dxa" w:w="1928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Account / settings</w:t>
            </w:r>
          </w:p>
        </w:tc>
        <w:tc>
          <w:tcPr>
            <w:tcW w:type="dxa" w:w="1928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Owner / review date</w:t>
            </w:r>
          </w:p>
        </w:tc>
      </w:tr>
      <w:tr>
        <w:tc>
          <w:tcPr>
            <w:tcW w:type="dxa" w:w="1928"/>
          </w:tcPr>
          <w:p>
            <w:pPr>
              <w:spacing w:after="40"/>
            </w:pPr>
            <w:r/>
            <w:r>
              <w:rPr>
                <w:sz w:val="19"/>
              </w:rPr>
              <w:t>[Tool]</w:t>
            </w:r>
          </w:p>
        </w:tc>
        <w:tc>
          <w:tcPr>
            <w:tcW w:type="dxa" w:w="1928"/>
          </w:tcPr>
          <w:p>
            <w:pPr>
              <w:spacing w:after="40"/>
            </w:pPr>
            <w:r/>
            <w:r>
              <w:rPr>
                <w:sz w:val="19"/>
              </w:rPr>
              <w:t>[Purpose]</w:t>
            </w:r>
          </w:p>
        </w:tc>
        <w:tc>
          <w:tcPr>
            <w:tcW w:type="dxa" w:w="1928"/>
          </w:tcPr>
          <w:p>
            <w:pPr>
              <w:spacing w:after="40"/>
            </w:pPr>
            <w:r/>
            <w:r>
              <w:rPr>
                <w:sz w:val="19"/>
              </w:rPr>
              <w:t>[Green / Amber only]</w:t>
            </w:r>
          </w:p>
        </w:tc>
        <w:tc>
          <w:tcPr>
            <w:tcW w:type="dxa" w:w="1928"/>
          </w:tcPr>
          <w:p>
            <w:pPr>
              <w:spacing w:after="40"/>
            </w:pPr>
            <w:r/>
            <w:r>
              <w:rPr>
                <w:sz w:val="19"/>
              </w:rPr>
              <w:t>[Plan, retention, training opt-out, MFA]</w:t>
            </w:r>
          </w:p>
        </w:tc>
        <w:tc>
          <w:tcPr>
            <w:tcW w:type="dxa" w:w="1928"/>
          </w:tcPr>
          <w:p>
            <w:pPr>
              <w:spacing w:after="40"/>
            </w:pPr>
            <w:r/>
            <w:r>
              <w:rPr>
                <w:sz w:val="19"/>
              </w:rPr>
              <w:t>[Owner / date]</w:t>
            </w:r>
          </w:p>
        </w:tc>
      </w:tr>
      <w:tr>
        <w:tc>
          <w:tcPr>
            <w:tcW w:type="dxa" w:w="1928"/>
          </w:tcPr>
          <w:p>
            <w:pPr>
              <w:spacing w:after="40"/>
            </w:pPr>
            <w:r/>
            <w:r>
              <w:rPr>
                <w:sz w:val="19"/>
              </w:rPr>
              <w:t>[Tool]</w:t>
            </w:r>
          </w:p>
        </w:tc>
        <w:tc>
          <w:tcPr>
            <w:tcW w:type="dxa" w:w="1928"/>
          </w:tcPr>
          <w:p>
            <w:pPr>
              <w:spacing w:after="40"/>
            </w:pPr>
            <w:r/>
            <w:r>
              <w:rPr>
                <w:sz w:val="19"/>
              </w:rPr>
              <w:t>[Purpose]</w:t>
            </w:r>
          </w:p>
        </w:tc>
        <w:tc>
          <w:tcPr>
            <w:tcW w:type="dxa" w:w="1928"/>
          </w:tcPr>
          <w:p>
            <w:pPr>
              <w:spacing w:after="40"/>
            </w:pPr>
            <w:r/>
            <w:r>
              <w:rPr>
                <w:sz w:val="19"/>
              </w:rPr>
              <w:t>[Category]</w:t>
            </w:r>
          </w:p>
        </w:tc>
        <w:tc>
          <w:tcPr>
            <w:tcW w:type="dxa" w:w="1928"/>
          </w:tcPr>
          <w:p>
            <w:pPr>
              <w:spacing w:after="40"/>
            </w:pPr>
            <w:r/>
            <w:r>
              <w:rPr>
                <w:sz w:val="19"/>
              </w:rPr>
              <w:t>[Configuration]</w:t>
            </w:r>
          </w:p>
        </w:tc>
        <w:tc>
          <w:tcPr>
            <w:tcW w:type="dxa" w:w="1928"/>
          </w:tcPr>
          <w:p>
            <w:pPr>
              <w:spacing w:after="40"/>
            </w:pPr>
            <w:r/>
            <w:r>
              <w:rPr>
                <w:sz w:val="19"/>
              </w:rPr>
              <w:t>[Owner / date]</w:t>
            </w:r>
          </w:p>
        </w:tc>
      </w:tr>
      <w:tr>
        <w:tc>
          <w:tcPr>
            <w:tcW w:type="dxa" w:w="1928"/>
          </w:tcPr>
          <w:p>
            <w:pPr>
              <w:spacing w:after="40"/>
            </w:pPr>
            <w:r/>
            <w:r>
              <w:rPr>
                <w:sz w:val="19"/>
              </w:rPr>
              <w:t>[Offline / local tool]</w:t>
            </w:r>
          </w:p>
        </w:tc>
        <w:tc>
          <w:tcPr>
            <w:tcW w:type="dxa" w:w="1928"/>
          </w:tcPr>
          <w:p>
            <w:pPr>
              <w:spacing w:after="40"/>
            </w:pPr>
            <w:r/>
            <w:r>
              <w:rPr>
                <w:sz w:val="19"/>
              </w:rPr>
              <w:t>[Purpose]</w:t>
            </w:r>
          </w:p>
        </w:tc>
        <w:tc>
          <w:tcPr>
            <w:tcW w:type="dxa" w:w="1928"/>
          </w:tcPr>
          <w:p>
            <w:pPr>
              <w:spacing w:after="40"/>
            </w:pPr>
            <w:r/>
            <w:r>
              <w:rPr>
                <w:sz w:val="19"/>
              </w:rPr>
              <w:t>[Category and device rules]</w:t>
            </w:r>
          </w:p>
        </w:tc>
        <w:tc>
          <w:tcPr>
            <w:tcW w:type="dxa" w:w="1928"/>
          </w:tcPr>
          <w:p>
            <w:pPr>
              <w:spacing w:after="40"/>
            </w:pPr>
            <w:r/>
            <w:r>
              <w:rPr>
                <w:sz w:val="19"/>
              </w:rPr>
              <w:t>[Storage, encryption, deletion]</w:t>
            </w:r>
          </w:p>
        </w:tc>
        <w:tc>
          <w:tcPr>
            <w:tcW w:type="dxa" w:w="1928"/>
          </w:tcPr>
          <w:p>
            <w:pPr>
              <w:spacing w:after="40"/>
            </w:pPr>
            <w:r/>
            <w:r>
              <w:rPr>
                <w:sz w:val="19"/>
              </w:rPr>
              <w:t>[Owner / date]</w:t>
            </w:r>
          </w:p>
        </w:tc>
      </w:tr>
    </w:tbl>
    <w:p>
      <w:pPr>
        <w:spacing w:after="40"/>
      </w:pPr>
    </w:p>
    <w:p>
      <w:pPr>
        <w:spacing w:before="260" w:after="60"/>
        <w:keepNext w:val="true"/>
      </w:pPr>
      <w:r>
        <w:rPr>
          <w:b/>
          <w:color w:val="12524A"/>
          <w:sz w:val="24"/>
        </w:rPr>
        <w:t>Minimum tool assessment</w:t>
      </w:r>
    </w:p>
    <w:tbl>
      <w:tblPr>
        <w:tblW w:w="9639" w:type="dxa"/>
        <w:jc w:val="lef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tblLayout w:type="fixed"/>
        <w:tblLook w:firstColumn="1" w:firstRow="1" w:lastColumn="0" w:lastRow="0" w:noHBand="0" w:noVBand="1" w:val="04A0"/>
      </w:tblPr>
      <w:tblGrid>
        <w:gridCol w:w="9639"/>
      </w:tblGrid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Provider, jurisdiction and applicable terms identified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Are inputs and outputs used for model training? Setting verified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Retention period and deletion route understood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Encryption, MFA and access controls reviewed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Sharing, plug-ins and third-party connectors disabled unless approved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Incident contact and continuity / offline route documented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Accessibility and language limitations tested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Exit and export plan exists if the tool changes, or is withdrawn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 xml:space="preserve">☐  </w:t>
            </w:r>
            <w:r>
              <w:rPr>
                <w:b/>
                <w:sz w:val="19"/>
              </w:rPr>
              <w:t>Cost per person per month, and who signs for it</w:t>
            </w:r>
          </w:p>
        </w:tc>
      </w:tr>
    </w:tbl>
    <w:p>
      <w:pPr>
        <w:spacing w:after="40"/>
      </w:pPr>
    </w:p>
    <w:p>
      <w:pPr>
        <w:spacing w:before="160" w:after="160"/>
        <w:ind w:left="227"/>
        <w:pBdr>
          <w:left w:val="single" w:sz="18" w:space="4" w:color="12524A"/>
        </w:pBdr>
      </w:pPr>
      <w:r>
        <w:rPr>
          <w:b/>
        </w:rPr>
        <w:t>If nobody can answer what happens to what staff type, nobody can approve the tool.</w:t>
      </w:r>
    </w:p>
    <w:p>
      <w:r>
        <w:br w:type="page"/>
      </w:r>
    </w:p>
    <w:p>
      <w:pPr>
        <w:spacing w:before="80" w:after="120"/>
        <w:pBdr>
          <w:bottom w:val="single" w:sz="12" w:space="4" w:color="12524A"/>
        </w:pBdr>
        <w:keepNext w:val="true"/>
      </w:pPr>
      <w:r>
        <w:rPr>
          <w:b/>
          <w:color w:val="12524A"/>
          <w:sz w:val="32"/>
        </w:rPr>
        <w:t>7. Prompt and input minimization</w:t>
      </w:r>
    </w:p>
    <w:p>
      <w:r>
        <w:t xml:space="preserve">Before prompting, remove direct and indirect identifiers, exact dates and locations, contact details, case numbers, rare attributes and any facts not needed for the task. </w:t>
      </w:r>
      <w:r>
        <w:rPr>
          <w:b/>
        </w:rPr>
        <w:t>Pseudonyms are not sufficient when the remaining context can re-identify a person</w:t>
      </w:r>
      <w:r>
        <w:t xml:space="preserve"> — an occupation held by one person in a place is an identifier.</w:t>
      </w:r>
    </w:p>
    <w:tbl>
      <w:tblPr>
        <w:tblW w:type="auto" w:w="0"/>
        <w:jc w:val="lef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autofit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val="clear" w:color="auto" w:fill="F6F6F4"/>
          </w:tcPr>
          <w:p>
            <w:r/>
            <w:r>
              <w:rPr>
                <w:b/>
                <w:sz w:val="18"/>
              </w:rPr>
              <w:t>SAFE PATTERN.</w:t>
            </w:r>
            <w:r>
              <w:rPr>
                <w:sz w:val="18"/>
              </w:rPr>
              <w:t xml:space="preserve"> Give the task, the audience, the public or fictional facts, the constraints, the desired format and the verification instruction. </w:t>
            </w:r>
            <w:r>
              <w:rPr>
                <w:b/>
                <w:sz w:val="18"/>
              </w:rPr>
              <w:t>Never paste material merely because it is convenient.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80" w:after="120"/>
        <w:pBdr>
          <w:bottom w:val="single" w:sz="12" w:space="4" w:color="12524A"/>
        </w:pBdr>
        <w:keepNext w:val="true"/>
      </w:pPr>
      <w:r>
        <w:rPr>
          <w:b/>
          <w:color w:val="12524A"/>
          <w:sz w:val="32"/>
        </w:rPr>
        <w:t>8. Human review and approval</w:t>
      </w:r>
    </w:p>
    <w:p>
      <w:r>
        <w:t>Every consequential output has a named human approver. Use whichever variant matches the organization you actually have.</w:t>
      </w:r>
    </w:p>
    <w:p>
      <w:pPr>
        <w:spacing w:before="260" w:after="60"/>
        <w:keepNext w:val="true"/>
      </w:pPr>
      <w:r>
        <w:rPr>
          <w:b/>
          <w:color w:val="12524A"/>
          <w:sz w:val="24"/>
        </w:rPr>
        <w:t>8.1 Standard variant</w:t>
      </w:r>
    </w:p>
    <w:tbl>
      <w:tblPr>
        <w:tblW w:w="9639" w:type="dxa"/>
        <w:jc w:val="lef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tblLayout w:type="fixed"/>
        <w:tblLook w:firstColumn="1" w:firstRow="1" w:lastColumn="0" w:lastRow="0" w:noHBand="0" w:noVBand="1" w:val="04A0"/>
      </w:tblPr>
      <w:tblGrid>
        <w:gridCol w:w="2268"/>
        <w:gridCol w:w="5103"/>
        <w:gridCol w:w="2268"/>
      </w:tblGrid>
      <w:tr>
        <w:trPr>
          <w:tblHeader w:val="true"/>
        </w:trPr>
        <w:tc>
          <w:tcPr>
            <w:tcW w:type="dxa" w:w="2268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Output type</w:t>
            </w:r>
          </w:p>
        </w:tc>
        <w:tc>
          <w:tcPr>
            <w:tcW w:type="dxa" w:w="5102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Required review</w:t>
            </w:r>
          </w:p>
        </w:tc>
        <w:tc>
          <w:tcPr>
            <w:tcW w:type="dxa" w:w="2268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Approver</w:t>
            </w:r>
          </w:p>
        </w:tc>
      </w:tr>
      <w:tr>
        <w:tc>
          <w:tcPr>
            <w:tcW w:type="dxa" w:w="2268"/>
          </w:tcPr>
          <w:p>
            <w:pPr>
              <w:spacing w:after="40"/>
            </w:pPr>
            <w:r/>
            <w:r>
              <w:rPr>
                <w:sz w:val="19"/>
              </w:rPr>
              <w:t>Internal brainstorming</w:t>
            </w:r>
          </w:p>
        </w:tc>
        <w:tc>
          <w:tcPr>
            <w:tcW w:type="dxa" w:w="5102"/>
          </w:tcPr>
          <w:p>
            <w:pPr>
              <w:spacing w:after="40"/>
            </w:pPr>
            <w:r/>
            <w:r>
              <w:rPr>
                <w:sz w:val="19"/>
              </w:rPr>
              <w:t>Relevance, obvious errors, confidentiality</w:t>
            </w:r>
          </w:p>
        </w:tc>
        <w:tc>
          <w:tcPr>
            <w:tcW w:type="dxa" w:w="2268"/>
          </w:tcPr>
          <w:p>
            <w:pPr>
              <w:spacing w:after="40"/>
            </w:pPr>
            <w:r/>
            <w:r>
              <w:rPr>
                <w:sz w:val="19"/>
              </w:rPr>
              <w:t>[Author / team lead]</w:t>
            </w:r>
          </w:p>
        </w:tc>
      </w:tr>
      <w:tr>
        <w:tc>
          <w:tcPr>
            <w:tcW w:type="dxa" w:w="2268"/>
          </w:tcPr>
          <w:p>
            <w:pPr>
              <w:spacing w:after="40"/>
            </w:pPr>
            <w:r/>
            <w:r>
              <w:rPr>
                <w:sz w:val="19"/>
              </w:rPr>
              <w:t>Public factual content</w:t>
            </w:r>
          </w:p>
        </w:tc>
        <w:tc>
          <w:tcPr>
            <w:tcW w:type="dxa" w:w="5102"/>
          </w:tcPr>
          <w:p>
            <w:pPr>
              <w:spacing w:after="40"/>
            </w:pPr>
            <w:r/>
            <w:r>
              <w:rPr>
                <w:sz w:val="19"/>
              </w:rPr>
              <w:t>Every material claim traced to an authoritative source; dates, names, quotations and context checked</w:t>
            </w:r>
          </w:p>
        </w:tc>
        <w:tc>
          <w:tcPr>
            <w:tcW w:type="dxa" w:w="2268"/>
          </w:tcPr>
          <w:p>
            <w:pPr>
              <w:spacing w:after="40"/>
            </w:pPr>
            <w:r/>
            <w:r>
              <w:rPr>
                <w:sz w:val="19"/>
              </w:rPr>
              <w:t>[Communications or programme lead]</w:t>
            </w:r>
          </w:p>
        </w:tc>
      </w:tr>
      <w:tr>
        <w:tc>
          <w:tcPr>
            <w:tcW w:type="dxa" w:w="2268"/>
          </w:tcPr>
          <w:p>
            <w:pPr>
              <w:spacing w:after="40"/>
            </w:pPr>
            <w:r/>
            <w:r>
              <w:rPr>
                <w:sz w:val="19"/>
              </w:rPr>
              <w:t>Translation</w:t>
            </w:r>
          </w:p>
        </w:tc>
        <w:tc>
          <w:tcPr>
            <w:tcW w:type="dxa" w:w="5102"/>
          </w:tcPr>
          <w:p>
            <w:pPr>
              <w:spacing w:after="40"/>
            </w:pPr>
            <w:r/>
            <w:r>
              <w:rPr>
                <w:sz w:val="19"/>
              </w:rPr>
              <w:t>Meaning, terminology, names, numbers, tone and risk reviewed by a competent language reviewer</w:t>
            </w:r>
          </w:p>
        </w:tc>
        <w:tc>
          <w:tcPr>
            <w:tcW w:type="dxa" w:w="2268"/>
          </w:tcPr>
          <w:p>
            <w:pPr>
              <w:spacing w:after="40"/>
            </w:pPr>
            <w:r/>
            <w:r>
              <w:rPr>
                <w:sz w:val="19"/>
              </w:rPr>
              <w:t>[Named reviewer]</w:t>
            </w:r>
          </w:p>
        </w:tc>
      </w:tr>
      <w:tr>
        <w:tc>
          <w:tcPr>
            <w:tcW w:type="dxa" w:w="2268"/>
          </w:tcPr>
          <w:p>
            <w:pPr>
              <w:spacing w:after="40"/>
            </w:pPr>
            <w:r/>
            <w:r>
              <w:rPr>
                <w:sz w:val="19"/>
              </w:rPr>
              <w:t>Legal or evidentiary work</w:t>
            </w:r>
          </w:p>
        </w:tc>
        <w:tc>
          <w:tcPr>
            <w:tcW w:type="dxa" w:w="5102"/>
          </w:tcPr>
          <w:p>
            <w:pPr>
              <w:spacing w:after="40"/>
            </w:pPr>
            <w:r/>
            <w:r>
              <w:rPr>
                <w:sz w:val="19"/>
              </w:rPr>
              <w:t>Qualified legal or substantive review; original sources retained; AI is not treated as an authority</w:t>
            </w:r>
          </w:p>
        </w:tc>
        <w:tc>
          <w:tcPr>
            <w:tcW w:type="dxa" w:w="2268"/>
          </w:tcPr>
          <w:p>
            <w:pPr>
              <w:spacing w:after="40"/>
            </w:pPr>
            <w:r/>
            <w:r>
              <w:rPr>
                <w:sz w:val="19"/>
              </w:rPr>
              <w:t>[Authorized legal lead]</w:t>
            </w:r>
          </w:p>
        </w:tc>
      </w:tr>
      <w:tr>
        <w:tc>
          <w:tcPr>
            <w:tcW w:type="dxa" w:w="2268"/>
          </w:tcPr>
          <w:p>
            <w:pPr>
              <w:spacing w:after="40"/>
            </w:pPr>
            <w:r/>
            <w:r>
              <w:rPr>
                <w:sz w:val="19"/>
              </w:rPr>
              <w:t>High-impact decision support</w:t>
            </w:r>
          </w:p>
        </w:tc>
        <w:tc>
          <w:tcPr>
            <w:tcW w:type="dxa" w:w="5102"/>
          </w:tcPr>
          <w:p>
            <w:pPr>
              <w:spacing w:after="40"/>
            </w:pPr>
            <w:r/>
            <w:r>
              <w:rPr>
                <w:sz w:val="19"/>
              </w:rPr>
              <w:t>Necessity, fairness, contestability, documentation and senior approval</w:t>
            </w:r>
          </w:p>
        </w:tc>
        <w:tc>
          <w:tcPr>
            <w:tcW w:type="dxa" w:w="2268"/>
          </w:tcPr>
          <w:p>
            <w:pPr>
              <w:spacing w:after="40"/>
            </w:pPr>
            <w:r/>
            <w:r>
              <w:rPr>
                <w:sz w:val="19"/>
              </w:rPr>
              <w:t>[Executive Director / delegated authority]</w:t>
            </w:r>
          </w:p>
        </w:tc>
      </w:tr>
      <w:tr>
        <w:tc>
          <w:tcPr>
            <w:tcW w:type="dxa" w:w="2268"/>
          </w:tcPr>
          <w:p>
            <w:pPr>
              <w:spacing w:after="40"/>
            </w:pPr>
            <w:r/>
            <w:r>
              <w:rPr>
                <w:sz w:val="19"/>
              </w:rPr>
              <w:t>Synthetic media</w:t>
            </w:r>
          </w:p>
        </w:tc>
        <w:tc>
          <w:tcPr>
            <w:tcW w:type="dxa" w:w="5102"/>
          </w:tcPr>
          <w:p>
            <w:pPr>
              <w:spacing w:after="40"/>
            </w:pPr>
            <w:r/>
            <w:r>
              <w:rPr>
                <w:sz w:val="19"/>
              </w:rPr>
              <w:t>Purpose, consent, labelling, provenance and misuse risk checked</w:t>
            </w:r>
          </w:p>
        </w:tc>
        <w:tc>
          <w:tcPr>
            <w:tcW w:type="dxa" w:w="2268"/>
          </w:tcPr>
          <w:p>
            <w:pPr>
              <w:spacing w:after="40"/>
            </w:pPr>
            <w:r/>
            <w:r>
              <w:rPr>
                <w:sz w:val="19"/>
              </w:rPr>
              <w:t>[Communications + safeguarding / security]</w:t>
            </w:r>
          </w:p>
        </w:tc>
      </w:tr>
      <w:tr>
        <w:tc>
          <w:tcPr>
            <w:tcW w:type="dxa" w:w="2268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Published or broadcast content</w:t>
            </w:r>
          </w:p>
        </w:tc>
        <w:tc>
          <w:tcPr>
            <w:tcW w:type="dxa" w:w="5102"/>
          </w:tcPr>
          <w:p>
            <w:pPr>
              <w:spacing w:after="40"/>
            </w:pPr>
            <w:r/>
            <w:r>
              <w:rPr>
                <w:sz w:val="19"/>
              </w:rPr>
              <w:t>Editorial standards, right of reply, source protection and disclosure to the audience</w:t>
            </w:r>
          </w:p>
        </w:tc>
        <w:tc>
          <w:tcPr>
            <w:tcW w:type="dxa" w:w="2268"/>
          </w:tcPr>
          <w:p>
            <w:pPr>
              <w:spacing w:after="40"/>
            </w:pPr>
            <w:r/>
            <w:r>
              <w:rPr>
                <w:sz w:val="19"/>
              </w:rPr>
              <w:t>[Editor]</w:t>
            </w:r>
          </w:p>
        </w:tc>
      </w:tr>
    </w:tbl>
    <w:p>
      <w:pPr>
        <w:spacing w:after="40"/>
      </w:pPr>
    </w:p>
    <w:p>
      <w:pPr>
        <w:spacing w:before="260" w:after="60"/>
        <w:keepNext w:val="true"/>
      </w:pPr>
      <w:r>
        <w:rPr>
          <w:b/>
          <w:color w:val="12524A"/>
          <w:sz w:val="24"/>
        </w:rPr>
        <w:t>8.2 Small-organization variant — two roles</w:t>
      </w:r>
    </w:p>
    <w:p>
      <w:pPr>
        <w:spacing w:before="160" w:after="160"/>
        <w:ind w:left="227"/>
        <w:pBdr>
          <w:left w:val="single" w:sz="18" w:space="4" w:color="12524A"/>
        </w:pBdr>
      </w:pPr>
      <w:r>
        <w:rPr>
          <w:b/>
        </w:rPr>
        <w:t>Most organizations in this programme have no communications director, no legal lead and no safeguarding officer. A policy that assumes those roles gets abandoned rather than adapted. Use two roles instead, and put real names in them.</w:t>
      </w:r>
    </w:p>
    <w:tbl>
      <w:tblPr>
        <w:tblW w:w="9639" w:type="dxa"/>
        <w:jc w:val="lef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tblLayout w:type="fixed"/>
        <w:tblLook w:firstColumn="1" w:firstRow="1" w:lastColumn="0" w:lastRow="0" w:noHBand="0" w:noVBand="1" w:val="04A0"/>
      </w:tblPr>
      <w:tblGrid>
        <w:gridCol w:w="1927"/>
        <w:gridCol w:w="5443"/>
        <w:gridCol w:w="2268"/>
      </w:tblGrid>
      <w:tr>
        <w:trPr>
          <w:tblHeader w:val="true"/>
        </w:trPr>
        <w:tc>
          <w:tcPr>
            <w:tcW w:type="dxa" w:w="1928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Role</w:t>
            </w:r>
          </w:p>
        </w:tc>
        <w:tc>
          <w:tcPr>
            <w:tcW w:type="dxa" w:w="5443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What they do</w:t>
            </w:r>
          </w:p>
        </w:tc>
        <w:tc>
          <w:tcPr>
            <w:tcW w:type="dxa" w:w="2268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Name</w:t>
            </w:r>
          </w:p>
        </w:tc>
      </w:tr>
      <w:tr>
        <w:tc>
          <w:tcPr>
            <w:tcW w:type="dxa" w:w="1928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Policy owner</w:t>
            </w:r>
          </w:p>
        </w:tc>
        <w:tc>
          <w:tcPr>
            <w:tcW w:type="dxa" w:w="5443"/>
          </w:tcPr>
          <w:p>
            <w:pPr>
              <w:spacing w:after="40"/>
            </w:pPr>
            <w:r/>
            <w:r>
              <w:rPr>
                <w:sz w:val="19"/>
              </w:rPr>
              <w:t>Maintains this policy, keeps the tool register, answers day-to-day questions, runs the review</w:t>
            </w:r>
          </w:p>
        </w:tc>
        <w:tc>
          <w:tcPr>
            <w:tcW w:type="dxa" w:w="2268"/>
          </w:tcPr>
          <w:p>
            <w:pPr>
              <w:spacing w:after="40"/>
            </w:pPr>
            <w:r/>
            <w:r>
              <w:rPr>
                <w:sz w:val="19"/>
              </w:rPr>
              <w:t>[Name]</w:t>
            </w:r>
          </w:p>
        </w:tc>
      </w:tr>
      <w:tr>
        <w:tc>
          <w:tcPr>
            <w:tcW w:type="dxa" w:w="1928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Approver</w:t>
            </w:r>
          </w:p>
        </w:tc>
        <w:tc>
          <w:tcPr>
            <w:tcW w:type="dxa" w:w="5443"/>
          </w:tcPr>
          <w:p>
            <w:pPr>
              <w:spacing w:after="40"/>
            </w:pPr>
            <w:r/>
            <w:r>
              <w:rPr>
                <w:sz w:val="19"/>
              </w:rPr>
              <w:t>Says yes or no to every Amber use, and approves anything that goes out publicly</w:t>
            </w:r>
          </w:p>
        </w:tc>
        <w:tc>
          <w:tcPr>
            <w:tcW w:type="dxa" w:w="2268"/>
          </w:tcPr>
          <w:p>
            <w:pPr>
              <w:spacing w:after="40"/>
            </w:pPr>
            <w:r/>
            <w:r>
              <w:rPr>
                <w:sz w:val="19"/>
              </w:rPr>
              <w:t>[Name]</w:t>
            </w:r>
          </w:p>
        </w:tc>
      </w:tr>
    </w:tbl>
    <w:p>
      <w:pPr>
        <w:spacing w:after="40"/>
      </w:pPr>
    </w:p>
    <w:p>
      <w:r>
        <w:t xml:space="preserve">Where the two roles are the same person — which is common — say so explicitly, and name a second person who reviews anything that person has drafted themselves. </w:t>
      </w:r>
      <w:r>
        <w:rPr>
          <w:b/>
        </w:rPr>
        <w:t>Nobody approves their own work.</w:t>
      </w:r>
    </w:p>
    <w:p>
      <w:r>
        <w:br w:type="page"/>
      </w:r>
    </w:p>
    <w:p>
      <w:pPr>
        <w:spacing w:before="80" w:after="120"/>
        <w:pBdr>
          <w:bottom w:val="single" w:sz="12" w:space="4" w:color="12524A"/>
        </w:pBdr>
        <w:keepNext w:val="true"/>
      </w:pPr>
      <w:r>
        <w:rPr>
          <w:b/>
          <w:color w:val="12524A"/>
          <w:sz w:val="32"/>
        </w:rPr>
        <w:t>9. Accuracy, verification and sources</w:t>
      </w:r>
    </w:p>
    <w:tbl>
      <w:tblPr>
        <w:tblW w:w="9639" w:type="dxa"/>
        <w:jc w:val="lef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tblLayout w:type="fixed"/>
        <w:tblLook w:firstColumn="1" w:firstRow="1" w:lastColumn="0" w:lastRow="0" w:noHBand="0" w:noVBand="1" w:val="04A0"/>
      </w:tblPr>
      <w:tblGrid>
        <w:gridCol w:w="9639"/>
      </w:tblGrid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Treat model output as an unverified draft, not as evidence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Open and read original sources; do not rely on generated citations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Separate verified fact, analysis and uncertainty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Use a second verification route for consequential claims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 xml:space="preserve">☐  </w:t>
            </w:r>
            <w:r>
              <w:rPr>
                <w:b/>
                <w:sz w:val="19"/>
              </w:rPr>
              <w:t>Check what a figure measures, not only whether it adds up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Preserve original evidence and an audit trail outside the AI system</w:t>
            </w:r>
          </w:p>
        </w:tc>
      </w:tr>
      <w:tr>
        <w:tc>
          <w:tcPr>
            <w:tcW w:type="dxa" w:w="9638"/>
          </w:tcPr>
          <w:p>
            <w:pPr>
              <w:spacing w:after="40"/>
            </w:pPr>
            <w:r/>
            <w:r>
              <w:rPr>
                <w:sz w:val="19"/>
              </w:rPr>
              <w:t>☐  Escalate unresolved uncertainty instead of making a definite claim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80" w:after="120"/>
        <w:pBdr>
          <w:bottom w:val="single" w:sz="12" w:space="4" w:color="12524A"/>
        </w:pBdr>
        <w:keepNext w:val="true"/>
      </w:pPr>
      <w:r>
        <w:rPr>
          <w:b/>
          <w:color w:val="12524A"/>
          <w:sz w:val="32"/>
        </w:rPr>
        <w:t>10. Translation and local-language use</w:t>
      </w:r>
    </w:p>
    <w:p>
      <w:r>
        <w:t xml:space="preserve">AI-assisted translation may be used only within the data rules above. A competent human reviewer must check meaning, culturally and politically sensitive terms, proper names, numbers, quotations, legal and rights terminology, and any wording that could increase risk. </w:t>
      </w:r>
      <w:r>
        <w:rPr>
          <w:b/>
        </w:rPr>
        <w:t>Where no qualified review is available, label the translation as provisional and do not use it for consequential action.</w:t>
      </w:r>
    </w:p>
    <w:p>
      <w:r>
        <w:br w:type="page"/>
      </w:r>
    </w:p>
    <w:p>
      <w:pPr>
        <w:spacing w:before="80" w:after="120"/>
        <w:pBdr>
          <w:bottom w:val="single" w:sz="12" w:space="4" w:color="12524A"/>
        </w:pBdr>
        <w:keepNext w:val="true"/>
      </w:pPr>
      <w:r>
        <w:rPr>
          <w:b/>
          <w:color w:val="12524A"/>
          <w:sz w:val="32"/>
        </w:rPr>
        <w:t>11. Images, audio, video and verification</w:t>
      </w:r>
    </w:p>
    <w:p>
      <w:r>
        <w:rPr>
          <w:b/>
        </w:rPr>
        <w:t>Do not treat an AI detector as proof.</w:t>
      </w:r>
      <w:r>
        <w:t xml:space="preserve"> Preserve originals, record provenance, corroborate with independent sources, inspect context and metadata where it is safe to do so, and state confidence carefully. A detector score is a clue with an error rate.</w:t>
      </w:r>
    </w:p>
    <w:p>
      <w:r>
        <w:rPr>
          <w:b/>
        </w:rPr>
        <w:t>AI-generated imagery</w:t>
      </w:r>
      <w:r>
        <w:t xml:space="preserve"> created for publication must be clearly labelled, unless an approved exception protects people without misleading the audience. Do not use generated imagery to depict a real event, a real person or a real place.</w:t>
      </w:r>
    </w:p>
    <w:p>
      <w:pPr>
        <w:spacing w:before="160" w:after="160"/>
        <w:ind w:left="227"/>
        <w:pBdr>
          <w:left w:val="single" w:sz="18" w:space="4" w:color="12524A"/>
        </w:pBdr>
      </w:pPr>
      <w:r>
        <w:rPr>
          <w:b/>
        </w:rPr>
        <w:t>An instruction that arrives by voice is verified by a call-back on a number you already hold, before it is acted on. This applies to payments, to data requests and to requests for a person's location.</w:t>
      </w:r>
    </w:p>
    <w:p>
      <w:r>
        <w:br w:type="page"/>
      </w:r>
    </w:p>
    <w:p>
      <w:pPr>
        <w:spacing w:before="80" w:after="120"/>
        <w:pBdr>
          <w:bottom w:val="single" w:sz="12" w:space="4" w:color="12524A"/>
        </w:pBdr>
        <w:keepNext w:val="true"/>
      </w:pPr>
      <w:r>
        <w:rPr>
          <w:b/>
          <w:color w:val="12524A"/>
          <w:sz w:val="32"/>
        </w:rPr>
        <w:t>12. Disclosing AI assistance to an audience</w:t>
      </w:r>
    </w:p>
    <w:p>
      <w:r>
        <w:rPr>
          <w:i/>
        </w:rPr>
        <w:t>New section for organizations that publish or broadcast.</w:t>
      </w:r>
    </w:p>
    <w:p>
      <w:r>
        <w:t>[Organization] tells its audience when AI materially assisted a published or broadcast product. Disclosure is required where AI assistance could otherwise mislead the audience about how the content was made, who verified it, or whether a depicted person or event is real.</w:t>
      </w:r>
    </w:p>
    <w:tbl>
      <w:tblPr>
        <w:tblW w:w="9639" w:type="dxa"/>
        <w:jc w:val="lef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4819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Disclose</w:t>
            </w:r>
          </w:p>
        </w:tc>
        <w:tc>
          <w:tcPr>
            <w:tcW w:type="dxa" w:w="4819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Not normally disclosed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/>
            <w:r>
              <w:rPr>
                <w:sz w:val="19"/>
              </w:rPr>
              <w:t>Generated or substantially altered images, audio or video</w:t>
              <w:br/>
              <w:t>Synthetic voice or presenter</w:t>
              <w:br/>
              <w:t>AI-generated text published substantially as produced</w:t>
              <w:br/>
              <w:t>Automated translation published without fluent human review</w:t>
            </w:r>
          </w:p>
        </w:tc>
        <w:tc>
          <w:tcPr>
            <w:tcW w:type="dxa" w:w="4819"/>
          </w:tcPr>
          <w:p>
            <w:pPr>
              <w:spacing w:after="40"/>
            </w:pPr>
            <w:r/>
            <w:r>
              <w:rPr>
                <w:sz w:val="19"/>
              </w:rPr>
              <w:t>Spelling, grammar and formatting assistance</w:t>
              <w:br/>
              <w:t>Research or background reading that was independently verified</w:t>
              <w:br/>
              <w:t>Transcription checked against the recording</w:t>
              <w:br/>
              <w:t>Internal drafting that a named person rewrote and approved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autofit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val="clear" w:color="auto" w:fill="F6F6F4"/>
          </w:tcPr>
          <w:p>
            <w:r/>
            <w:r>
              <w:rPr>
                <w:b/>
                <w:sz w:val="18"/>
              </w:rPr>
              <w:t>Suggested wording.</w:t>
            </w:r>
            <w:r>
              <w:rPr>
                <w:sz w:val="18"/>
              </w:rPr>
              <w:t xml:space="preserve"> "Generative AI assisted with [limited task]. A named staff member reviewed the output against [sources or criteria] and remains responsible for the final content."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80" w:after="120"/>
        <w:pBdr>
          <w:bottom w:val="single" w:sz="12" w:space="4" w:color="12524A"/>
        </w:pBdr>
        <w:keepNext w:val="true"/>
      </w:pPr>
      <w:r>
        <w:rPr>
          <w:b/>
          <w:color w:val="12524A"/>
          <w:sz w:val="32"/>
        </w:rPr>
        <w:t>13. Transparency and internal records</w:t>
      </w:r>
    </w:p>
    <w:p>
      <w:r>
        <w:t xml:space="preserve">Record material AI use when it affects a public product, legal analysis, a high-impact decision or an evidentiary process. The record should identify the tool and version where known, the purpose, the data category, the reviewer, material corrections, the approval and the date. </w:t>
      </w:r>
      <w:r>
        <w:rPr>
          <w:b/>
        </w:rPr>
        <w:t>Do not retain sensitive prompts or outputs merely to prove compliance.</w:t>
      </w:r>
    </w:p>
    <w:p>
      <w:r>
        <w:br w:type="page"/>
      </w:r>
    </w:p>
    <w:p>
      <w:pPr>
        <w:spacing w:before="80" w:after="120"/>
        <w:pBdr>
          <w:bottom w:val="single" w:sz="12" w:space="4" w:color="12524A"/>
        </w:pBdr>
        <w:keepNext w:val="true"/>
      </w:pPr>
      <w:r>
        <w:rPr>
          <w:b/>
          <w:color w:val="12524A"/>
          <w:sz w:val="32"/>
        </w:rPr>
        <w:t>14. Incident response</w:t>
      </w:r>
    </w:p>
    <w:tbl>
      <w:tblPr>
        <w:tblW w:w="9639" w:type="dxa"/>
        <w:jc w:val="lef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tblLayout w:type="fixed"/>
        <w:tblLook w:firstColumn="1" w:firstRow="1" w:lastColumn="0" w:lastRow="0" w:noHBand="0" w:noVBand="1" w:val="04A0"/>
      </w:tblPr>
      <w:tblGrid>
        <w:gridCol w:w="1701"/>
        <w:gridCol w:w="7938"/>
      </w:tblGrid>
      <w:tr>
        <w:trPr>
          <w:tblHeader w:val="true"/>
        </w:trPr>
        <w:tc>
          <w:tcPr>
            <w:tcW w:type="dxa" w:w="1701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Step</w:t>
            </w:r>
          </w:p>
        </w:tc>
        <w:tc>
          <w:tcPr>
            <w:tcW w:type="dxa" w:w="7937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Required action</w:t>
            </w:r>
          </w:p>
        </w:tc>
      </w:tr>
      <w:tr>
        <w:tc>
          <w:tcPr>
            <w:tcW w:type="dxa" w:w="1701"/>
          </w:tcPr>
          <w:p>
            <w:pPr>
              <w:spacing w:after="40"/>
            </w:pPr>
            <w:r/>
            <w:r>
              <w:rPr>
                <w:sz w:val="19"/>
              </w:rPr>
              <w:t>1. Pause</w:t>
            </w:r>
          </w:p>
        </w:tc>
        <w:tc>
          <w:tcPr>
            <w:tcW w:type="dxa" w:w="7937"/>
          </w:tcPr>
          <w:p>
            <w:pPr>
              <w:spacing w:after="40"/>
            </w:pPr>
            <w:r/>
            <w:r>
              <w:rPr>
                <w:sz w:val="19"/>
              </w:rPr>
              <w:t>Stop the AI workflow and prevent further sharing or publication.</w:t>
            </w:r>
          </w:p>
        </w:tc>
      </w:tr>
      <w:tr>
        <w:tc>
          <w:tcPr>
            <w:tcW w:type="dxa" w:w="1701"/>
          </w:tcPr>
          <w:p>
            <w:pPr>
              <w:spacing w:after="40"/>
            </w:pPr>
            <w:r/>
            <w:r>
              <w:rPr>
                <w:sz w:val="19"/>
              </w:rPr>
              <w:t>2. Contain</w:t>
            </w:r>
          </w:p>
        </w:tc>
        <w:tc>
          <w:tcPr>
            <w:tcW w:type="dxa" w:w="7937"/>
          </w:tcPr>
          <w:p>
            <w:pPr>
              <w:spacing w:after="40"/>
            </w:pPr>
            <w:r/>
            <w:r>
              <w:rPr>
                <w:sz w:val="19"/>
              </w:rPr>
              <w:t>Close shared links, revoke access, isolate affected devices and accounts, and preserve necessary evidence safely.</w:t>
            </w:r>
          </w:p>
        </w:tc>
      </w:tr>
      <w:tr>
        <w:tc>
          <w:tcPr>
            <w:tcW w:type="dxa" w:w="1701"/>
          </w:tcPr>
          <w:p>
            <w:pPr>
              <w:spacing w:after="40"/>
            </w:pPr>
            <w:r/>
            <w:r>
              <w:rPr>
                <w:sz w:val="19"/>
              </w:rPr>
              <w:t>3. Notify</w:t>
            </w:r>
          </w:p>
        </w:tc>
        <w:tc>
          <w:tcPr>
            <w:tcW w:type="dxa" w:w="7937"/>
          </w:tcPr>
          <w:p>
            <w:pPr>
              <w:spacing w:after="40"/>
            </w:pPr>
            <w:r/>
            <w:r>
              <w:rPr>
                <w:sz w:val="19"/>
              </w:rPr>
              <w:t xml:space="preserve">Use the secure incident route: </w:t>
            </w:r>
            <w:r>
              <w:rPr>
                <w:b/>
                <w:sz w:val="19"/>
              </w:rPr>
              <w:t>[insert contact]</w:t>
            </w:r>
            <w:r>
              <w:rPr>
                <w:sz w:val="19"/>
              </w:rPr>
              <w:t>. Do not broaden exposure through ordinary chat or email.</w:t>
            </w:r>
          </w:p>
        </w:tc>
      </w:tr>
      <w:tr>
        <w:tc>
          <w:tcPr>
            <w:tcW w:type="dxa" w:w="1701"/>
          </w:tcPr>
          <w:p>
            <w:pPr>
              <w:spacing w:after="40"/>
            </w:pPr>
            <w:r/>
            <w:r>
              <w:rPr>
                <w:sz w:val="19"/>
              </w:rPr>
              <w:t>4. Assess</w:t>
            </w:r>
          </w:p>
        </w:tc>
        <w:tc>
          <w:tcPr>
            <w:tcW w:type="dxa" w:w="7937"/>
          </w:tcPr>
          <w:p>
            <w:pPr>
              <w:spacing w:after="40"/>
            </w:pPr>
            <w:r/>
            <w:r>
              <w:rPr>
                <w:sz w:val="19"/>
              </w:rPr>
              <w:t>Identify the people and data affected, the tool and provider, recipients, retention and deletion options, and plausible harm.</w:t>
            </w:r>
          </w:p>
        </w:tc>
      </w:tr>
      <w:tr>
        <w:tc>
          <w:tcPr>
            <w:tcW w:type="dxa" w:w="1701"/>
          </w:tcPr>
          <w:p>
            <w:pPr>
              <w:spacing w:after="40"/>
            </w:pPr>
            <w:r/>
            <w:r>
              <w:rPr>
                <w:sz w:val="19"/>
              </w:rPr>
              <w:t>5. Respond</w:t>
            </w:r>
          </w:p>
        </w:tc>
        <w:tc>
          <w:tcPr>
            <w:tcW w:type="dxa" w:w="7937"/>
          </w:tcPr>
          <w:p>
            <w:pPr>
              <w:spacing w:after="40"/>
            </w:pPr>
            <w:r/>
            <w:r>
              <w:rPr>
                <w:sz w:val="19"/>
              </w:rPr>
              <w:t>Request deletion where feasible; support affected people; correct public content; meet legal and contractual duties.</w:t>
            </w:r>
          </w:p>
        </w:tc>
      </w:tr>
      <w:tr>
        <w:tc>
          <w:tcPr>
            <w:tcW w:type="dxa" w:w="1701"/>
          </w:tcPr>
          <w:p>
            <w:pPr>
              <w:spacing w:after="40"/>
            </w:pPr>
            <w:r/>
            <w:r>
              <w:rPr>
                <w:sz w:val="19"/>
              </w:rPr>
              <w:t>6. Learn</w:t>
            </w:r>
          </w:p>
        </w:tc>
        <w:tc>
          <w:tcPr>
            <w:tcW w:type="dxa" w:w="7937"/>
          </w:tcPr>
          <w:p>
            <w:pPr>
              <w:spacing w:after="40"/>
            </w:pPr>
            <w:r/>
            <w:r>
              <w:rPr>
                <w:sz w:val="19"/>
              </w:rPr>
              <w:t xml:space="preserve">Document decisions, update controls, retrain users and review tool approval. </w:t>
            </w:r>
            <w:r>
              <w:rPr>
                <w:b/>
                <w:sz w:val="19"/>
              </w:rPr>
              <w:t>Avoid blame-focused reporting.</w:t>
            </w:r>
          </w:p>
        </w:tc>
      </w:tr>
    </w:tbl>
    <w:p>
      <w:pPr>
        <w:spacing w:after="40"/>
      </w:pPr>
    </w:p>
    <w:p>
      <w:pPr>
        <w:spacing w:before="160" w:after="160"/>
        <w:ind w:left="227"/>
        <w:pBdr>
          <w:left w:val="single" w:sz="18" w:space="4" w:color="12524A"/>
        </w:pBdr>
      </w:pPr>
      <w:r>
        <w:rPr>
          <w:b/>
        </w:rPr>
        <w:t>The hard part is telling someone, not doing the deletion. Make sure staff know exactly who to tell and that telling them early is treated as good practice.</w:t>
      </w:r>
    </w:p>
    <w:p>
      <w:r>
        <w:br w:type="page"/>
      </w:r>
    </w:p>
    <w:p>
      <w:pPr>
        <w:spacing w:before="80" w:after="120"/>
        <w:pBdr>
          <w:bottom w:val="single" w:sz="12" w:space="4" w:color="12524A"/>
        </w:pBdr>
        <w:keepNext w:val="true"/>
      </w:pPr>
      <w:r>
        <w:rPr>
          <w:b/>
          <w:color w:val="12524A"/>
          <w:sz w:val="32"/>
        </w:rPr>
        <w:t>15. Training, accessibility and staff support</w:t>
      </w:r>
    </w:p>
    <w:p>
      <w:r>
        <w:t xml:space="preserve">[Organization] will provide role-appropriate training, accessible instructions, a safe route for questions and practical alternatives when staff cannot or should not use an AI tool. </w:t>
      </w:r>
      <w:r>
        <w:rPr>
          <w:b/>
        </w:rPr>
        <w:t>No employee will be penalized for pausing a task to protect people or data.</w:t>
      </w:r>
    </w:p>
    <w:p>
      <w:r>
        <w:br w:type="page"/>
      </w:r>
    </w:p>
    <w:p>
      <w:pPr>
        <w:spacing w:before="80" w:after="120"/>
        <w:pBdr>
          <w:bottom w:val="single" w:sz="12" w:space="4" w:color="12524A"/>
        </w:pBdr>
        <w:keepNext w:val="true"/>
      </w:pPr>
      <w:r>
        <w:rPr>
          <w:b/>
          <w:color w:val="12524A"/>
          <w:sz w:val="32"/>
        </w:rPr>
        <w:t>16. Monitoring, exceptions and review</w:t>
      </w:r>
    </w:p>
    <w:p>
      <w:r>
        <w:t xml:space="preserve">The policy owner reviews tool changes, incidents, staff feedback and a sample of AI-assisted workflows at least [quarterly]. Exceptions must be necessary, time-limited, documented and approved by [role]. </w:t>
      </w:r>
      <w:r>
        <w:rPr>
          <w:b/>
        </w:rPr>
        <w:t>No exception may override applicable law, consent, safeguarding, source-protection or confidentiality obligations.</w:t>
      </w:r>
    </w:p>
    <w:p>
      <w:r>
        <w:br w:type="page"/>
      </w:r>
    </w:p>
    <w:p>
      <w:pPr>
        <w:spacing w:before="80" w:after="120"/>
        <w:pBdr>
          <w:bottom w:val="single" w:sz="12" w:space="4" w:color="12524A"/>
        </w:pBdr>
        <w:keepNext w:val="true"/>
      </w:pPr>
      <w:r>
        <w:rPr>
          <w:b/>
          <w:color w:val="12524A"/>
          <w:sz w:val="32"/>
        </w:rPr>
        <w:t>Implementation planning notes</w:t>
      </w:r>
    </w:p>
    <w:tbl>
      <w:tblPr>
        <w:tblW w:w="9639" w:type="dxa"/>
        <w:jc w:val="lef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tblLayout w:type="fixed"/>
        <w:tblLook w:firstColumn="1" w:firstRow="1" w:lastColumn="0" w:lastRow="0" w:noHBand="0" w:noVBand="1" w:val="04A0"/>
      </w:tblPr>
      <w:tblGrid>
        <w:gridCol w:w="2268"/>
        <w:gridCol w:w="7371"/>
      </w:tblGrid>
      <w:tr>
        <w:trPr>
          <w:tblHeader w:val="true"/>
        </w:trPr>
        <w:tc>
          <w:tcPr>
            <w:tcW w:type="dxa" w:w="2268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Horizon</w:t>
            </w:r>
          </w:p>
        </w:tc>
        <w:tc>
          <w:tcPr>
            <w:tcW w:type="dxa" w:w="7370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Priority actions / owner</w:t>
            </w:r>
          </w:p>
        </w:tc>
      </w:tr>
      <w:tr>
        <w:tc>
          <w:tcPr>
            <w:tcW w:type="dxa" w:w="2268"/>
          </w:tcPr>
          <w:p>
            <w:pPr>
              <w:spacing w:after="40"/>
            </w:pPr>
            <w:r/>
            <w:r>
              <w:rPr>
                <w:sz w:val="19"/>
              </w:rPr>
              <w:t>First 30 days</w:t>
            </w:r>
          </w:p>
        </w:tc>
        <w:tc>
          <w:tcPr>
            <w:tcW w:type="dxa" w:w="7370"/>
          </w:tcPr>
          <w:p>
            <w:pPr>
              <w:spacing w:after="40"/>
            </w:pPr>
            <w:r/>
            <w:r>
              <w:rPr>
                <w:sz w:val="19"/>
              </w:rPr>
              <w:t xml:space="preserve">[Name the policy owner and approver; confirm the incident route; </w:t>
            </w:r>
            <w:r>
              <w:rPr>
                <w:b/>
                <w:sz w:val="19"/>
              </w:rPr>
              <w:t>find out what staff are already doing</w:t>
            </w:r>
            <w:r>
              <w:rPr>
                <w:sz w:val="19"/>
              </w:rPr>
              <w:t>.]</w:t>
            </w:r>
          </w:p>
        </w:tc>
      </w:tr>
      <w:tr>
        <w:tc>
          <w:tcPr>
            <w:tcW w:type="dxa" w:w="2268"/>
          </w:tcPr>
          <w:p>
            <w:pPr>
              <w:spacing w:after="40"/>
            </w:pPr>
            <w:r/>
            <w:r>
              <w:rPr>
                <w:sz w:val="19"/>
              </w:rPr>
              <w:t>Within 90 days</w:t>
            </w:r>
          </w:p>
        </w:tc>
        <w:tc>
          <w:tcPr>
            <w:tcW w:type="dxa" w:w="7370"/>
          </w:tcPr>
          <w:p>
            <w:pPr>
              <w:spacing w:after="40"/>
            </w:pPr>
            <w:r/>
            <w:r>
              <w:rPr>
                <w:sz w:val="19"/>
              </w:rPr>
              <w:t>[Complete tool assessments; brief staff; test the approval and review workflow.]</w:t>
            </w:r>
          </w:p>
        </w:tc>
      </w:tr>
      <w:tr>
        <w:tc>
          <w:tcPr>
            <w:tcW w:type="dxa" w:w="2268"/>
          </w:tcPr>
          <w:p>
            <w:pPr>
              <w:spacing w:after="40"/>
            </w:pPr>
            <w:r/>
            <w:r>
              <w:rPr>
                <w:sz w:val="19"/>
              </w:rPr>
              <w:t>Review evidence</w:t>
            </w:r>
          </w:p>
        </w:tc>
        <w:tc>
          <w:tcPr>
            <w:tcW w:type="dxa" w:w="7370"/>
          </w:tcPr>
          <w:p>
            <w:pPr>
              <w:spacing w:after="40"/>
            </w:pPr>
            <w:r/>
            <w:r>
              <w:rPr>
                <w:sz w:val="19"/>
              </w:rPr>
              <w:t>[Record approvals, training completion, incidents, staff questions and changes required.]</w:t>
            </w:r>
          </w:p>
        </w:tc>
      </w:tr>
    </w:tbl>
    <w:p>
      <w:pPr>
        <w:spacing w:after="40"/>
      </w:pPr>
    </w:p>
    <w:p>
      <w:pPr>
        <w:spacing w:before="260" w:after="60"/>
        <w:keepNext w:val="true"/>
      </w:pPr>
      <w:r>
        <w:rPr>
          <w:b/>
          <w:color w:val="12524A"/>
          <w:sz w:val="24"/>
        </w:rPr>
        <w:t>Adoption checklist</w:t>
      </w:r>
    </w:p>
    <w:tbl>
      <w:tblPr>
        <w:tblW w:w="9639" w:type="dxa"/>
        <w:jc w:val="lef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</w:tcPr>
          <w:p>
            <w:pPr>
              <w:spacing w:after="40"/>
            </w:pPr>
            <w:r/>
            <w:r>
              <w:rPr>
                <w:sz w:val="19"/>
              </w:rPr>
              <w:t>☐  Staff and affected teams were consulted</w:t>
            </w:r>
          </w:p>
        </w:tc>
        <w:tc>
          <w:tcPr>
            <w:tcW w:type="dxa" w:w="4819"/>
          </w:tcPr>
          <w:p>
            <w:pPr>
              <w:spacing w:after="40"/>
            </w:pPr>
            <w:r/>
            <w:r>
              <w:rPr>
                <w:sz w:val="19"/>
              </w:rPr>
              <w:t>☐  Incident route is operational and known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/>
            <w:r>
              <w:rPr>
                <w:sz w:val="19"/>
              </w:rPr>
              <w:t>☐  Data categories align with existing security practice</w:t>
            </w:r>
          </w:p>
        </w:tc>
        <w:tc>
          <w:tcPr>
            <w:tcW w:type="dxa" w:w="4819"/>
          </w:tcPr>
          <w:p>
            <w:pPr>
              <w:spacing w:after="40"/>
            </w:pPr>
            <w:r/>
            <w:r>
              <w:rPr>
                <w:sz w:val="19"/>
              </w:rPr>
              <w:t>☐  Training and accessibility needs were addressed</w:t>
            </w:r>
          </w:p>
        </w:tc>
      </w:tr>
      <w:tr>
        <w:tc>
          <w:tcPr>
            <w:tcW w:type="dxa" w:w="4819"/>
          </w:tcPr>
          <w:p>
            <w:pPr>
              <w:spacing w:after="40"/>
            </w:pPr>
            <w:r/>
            <w:r>
              <w:rPr>
                <w:sz w:val="19"/>
              </w:rPr>
              <w:t>☐  Approved tool settings were tested and recorded</w:t>
            </w:r>
          </w:p>
        </w:tc>
        <w:tc>
          <w:tcPr>
            <w:tcW w:type="dxa" w:w="4819"/>
          </w:tcPr>
          <w:p>
            <w:pPr>
              <w:spacing w:after="40"/>
            </w:pPr>
            <w:r/>
            <w:r>
              <w:rPr>
                <w:sz w:val="19"/>
              </w:rPr>
              <w:t>☐  Review date and owner are assigned</w:t>
            </w:r>
          </w:p>
        </w:tc>
      </w:tr>
    </w:tbl>
    <w:p>
      <w:pPr>
        <w:spacing w:after="40"/>
      </w:pPr>
    </w:p>
    <w:p>
      <w:pPr>
        <w:spacing w:before="260" w:after="60"/>
        <w:keepNext w:val="true"/>
      </w:pPr>
      <w:r>
        <w:rPr>
          <w:b/>
          <w:color w:val="12524A"/>
          <w:sz w:val="24"/>
        </w:rPr>
        <w:t>Approval</w:t>
      </w:r>
    </w:p>
    <w:tbl>
      <w:tblPr>
        <w:tblW w:w="9639" w:type="dxa"/>
        <w:jc w:val="lef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6" w:space="0" w:color="888888"/>
          <w:insideV w:val="single" w:sz="6" w:space="0" w:color="888888"/>
        </w:tblBorders>
        <w:tblLayout w:type="fixed"/>
        <w:tblLook w:firstColumn="1" w:firstRow="1" w:lastColumn="0" w:lastRow="0" w:noHBand="0" w:noVBand="1" w:val="04A0"/>
      </w:tblPr>
      <w:tblGrid>
        <w:gridCol w:w="2835"/>
        <w:gridCol w:w="2551"/>
        <w:gridCol w:w="2268"/>
        <w:gridCol w:w="1984"/>
      </w:tblGrid>
      <w:tr>
        <w:trPr>
          <w:tblHeader w:val="true"/>
        </w:trPr>
        <w:tc>
          <w:tcPr>
            <w:tcW w:type="dxa" w:w="2835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Role</w:t>
            </w:r>
          </w:p>
        </w:tc>
        <w:tc>
          <w:tcPr>
            <w:tcW w:type="dxa" w:w="2551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Name</w:t>
            </w:r>
          </w:p>
        </w:tc>
        <w:tc>
          <w:tcPr>
            <w:tcW w:type="dxa" w:w="2268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Signature</w:t>
            </w:r>
          </w:p>
        </w:tc>
        <w:tc>
          <w:tcPr>
            <w:tcW w:type="dxa" w:w="1984"/>
            <w:shd w:val="clear" w:color="auto" w:fill="E8EEEC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Date</w:t>
            </w:r>
          </w:p>
        </w:tc>
      </w:tr>
      <w:tr>
        <w:tc>
          <w:tcPr>
            <w:tcW w:type="dxa" w:w="2835"/>
          </w:tcPr>
          <w:p>
            <w:pPr>
              <w:spacing w:after="40"/>
            </w:pPr>
            <w:r/>
            <w:r>
              <w:rPr>
                <w:sz w:val="19"/>
              </w:rPr>
              <w:t>Policy owner</w:t>
            </w:r>
          </w:p>
        </w:tc>
        <w:tc>
          <w:tcPr>
            <w:tcW w:type="dxa" w:w="2551"/>
          </w:tcPr>
          <w:p>
            <w:pPr>
              <w:spacing w:after="40"/>
            </w:pPr>
            <w:r/>
          </w:p>
        </w:tc>
        <w:tc>
          <w:tcPr>
            <w:tcW w:type="dxa" w:w="2268"/>
          </w:tcPr>
          <w:p>
            <w:pPr>
              <w:spacing w:after="40"/>
            </w:pPr>
            <w:r/>
          </w:p>
        </w:tc>
        <w:tc>
          <w:tcPr>
            <w:tcW w:type="dxa" w:w="1984"/>
          </w:tcPr>
          <w:p>
            <w:pPr>
              <w:spacing w:after="40"/>
            </w:pPr>
            <w:r/>
          </w:p>
        </w:tc>
      </w:tr>
      <w:tr>
        <w:tc>
          <w:tcPr>
            <w:tcW w:type="dxa" w:w="2835"/>
          </w:tcPr>
          <w:p>
            <w:pPr>
              <w:spacing w:after="40"/>
            </w:pPr>
            <w:r/>
            <w:r>
              <w:rPr>
                <w:sz w:val="19"/>
              </w:rPr>
              <w:t>Executive approval</w:t>
            </w:r>
          </w:p>
        </w:tc>
        <w:tc>
          <w:tcPr>
            <w:tcW w:type="dxa" w:w="2551"/>
          </w:tcPr>
          <w:p>
            <w:pPr>
              <w:spacing w:after="40"/>
            </w:pPr>
            <w:r/>
          </w:p>
        </w:tc>
        <w:tc>
          <w:tcPr>
            <w:tcW w:type="dxa" w:w="2268"/>
          </w:tcPr>
          <w:p>
            <w:pPr>
              <w:spacing w:after="40"/>
            </w:pPr>
            <w:r/>
          </w:p>
        </w:tc>
        <w:tc>
          <w:tcPr>
            <w:tcW w:type="dxa" w:w="1984"/>
          </w:tcPr>
          <w:p>
            <w:pPr>
              <w:spacing w:after="40"/>
            </w:pPr>
            <w:r/>
          </w:p>
        </w:tc>
      </w:tr>
      <w:tr>
        <w:tc>
          <w:tcPr>
            <w:tcW w:type="dxa" w:w="2835"/>
          </w:tcPr>
          <w:p>
            <w:pPr>
              <w:spacing w:after="40"/>
            </w:pPr>
            <w:r/>
            <w:r>
              <w:rPr>
                <w:sz w:val="19"/>
              </w:rPr>
              <w:t>Editorial approval, if applicable</w:t>
            </w:r>
          </w:p>
        </w:tc>
        <w:tc>
          <w:tcPr>
            <w:tcW w:type="dxa" w:w="2551"/>
          </w:tcPr>
          <w:p>
            <w:pPr>
              <w:spacing w:after="40"/>
            </w:pPr>
            <w:r/>
          </w:p>
        </w:tc>
        <w:tc>
          <w:tcPr>
            <w:tcW w:type="dxa" w:w="2268"/>
          </w:tcPr>
          <w:p>
            <w:pPr>
              <w:spacing w:after="40"/>
            </w:pPr>
            <w:r/>
          </w:p>
        </w:tc>
        <w:tc>
          <w:tcPr>
            <w:tcW w:type="dxa" w:w="1984"/>
          </w:tcPr>
          <w:p>
            <w:pPr>
              <w:spacing w:after="40"/>
            </w:pPr>
            <w:r/>
          </w:p>
        </w:tc>
      </w:tr>
      <w:tr>
        <w:tc>
          <w:tcPr>
            <w:tcW w:type="dxa" w:w="2835"/>
          </w:tcPr>
          <w:p>
            <w:pPr>
              <w:spacing w:after="40"/>
            </w:pPr>
            <w:r/>
            <w:r>
              <w:rPr>
                <w:sz w:val="19"/>
              </w:rPr>
              <w:t>Board approval, if required</w:t>
            </w:r>
          </w:p>
        </w:tc>
        <w:tc>
          <w:tcPr>
            <w:tcW w:type="dxa" w:w="2551"/>
          </w:tcPr>
          <w:p>
            <w:pPr>
              <w:spacing w:after="40"/>
            </w:pPr>
            <w:r/>
          </w:p>
        </w:tc>
        <w:tc>
          <w:tcPr>
            <w:tcW w:type="dxa" w:w="2268"/>
          </w:tcPr>
          <w:p>
            <w:pPr>
              <w:spacing w:after="40"/>
            </w:pPr>
            <w:r/>
          </w:p>
        </w:tc>
        <w:tc>
          <w:tcPr>
            <w:tcW w:type="dxa" w:w="1984"/>
          </w:tcPr>
          <w:p>
            <w:pPr>
              <w:spacing w:after="40"/>
            </w:pPr>
            <w:r/>
          </w:p>
        </w:tc>
      </w:tr>
    </w:tbl>
    <w:p>
      <w:pPr>
        <w:spacing w:after="40"/>
      </w:pPr>
    </w:p>
    <w:p>
      <w:pPr>
        <w:spacing w:before="260" w:after="60"/>
        <w:keepNext w:val="true"/>
      </w:pPr>
      <w:r>
        <w:rPr>
          <w:b/>
          <w:color w:val="12524A"/>
          <w:sz w:val="24"/>
        </w:rPr>
        <w:t>Organization-specific decisions still required</w:t>
      </w:r>
    </w:p>
    <w:p>
      <w:pPr>
        <w:pStyle w:val="ListBullet"/>
        <w:spacing w:after="60"/>
      </w:pPr>
      <w:r>
        <w:t>Which data categories and examples must be added for our work?</w:t>
      </w:r>
    </w:p>
    <w:p>
      <w:pPr>
        <w:pStyle w:val="ListBullet"/>
        <w:spacing w:after="60"/>
      </w:pPr>
      <w:r>
        <w:t>Which tools, plans and configurations are approved, and who signs for them?</w:t>
      </w:r>
    </w:p>
    <w:p>
      <w:pPr>
        <w:pStyle w:val="ListBullet"/>
        <w:spacing w:after="60"/>
      </w:pPr>
      <w:r>
        <w:t>Who approves Amber uses and exceptions — and who reviews their own drafts?</w:t>
      </w:r>
    </w:p>
    <w:p>
      <w:pPr>
        <w:pStyle w:val="ListBullet"/>
        <w:spacing w:after="60"/>
      </w:pPr>
      <w:r>
        <w:t>Which public products require disclosure to the audience?</w:t>
      </w:r>
    </w:p>
    <w:p>
      <w:pPr>
        <w:pStyle w:val="ListBullet"/>
        <w:spacing w:after="60"/>
      </w:pPr>
      <w:r>
        <w:t>What is the secure incident-reporting channel?</w:t>
      </w:r>
    </w:p>
    <w:p>
      <w:pPr>
        <w:pStyle w:val="ListBullet"/>
        <w:spacing w:after="60"/>
      </w:pPr>
      <w:r>
        <w:t>What will show us whether the policy is working?</w:t>
      </w:r>
    </w:p>
    <w:sectPr w:rsidR="00FC693F" w:rsidRPr="0006063C" w:rsidSect="00034616">
      <w:pgSz w:w="11906" w:h="16838"/>
      <w:pgMar w:top="1247" w:right="1134" w:bottom="124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Georgia" w:hAnsi="Georgia" w:eastAsia="Georgia"/>
      <w:color w:val="111111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Minimum Viable AI Policy — Template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